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3B" w:rsidRDefault="00E96B84" w:rsidP="00F5410E">
      <w:pPr>
        <w:spacing w:after="0"/>
        <w:jc w:val="center"/>
        <w:rPr>
          <w:b/>
          <w:sz w:val="28"/>
          <w:szCs w:val="28"/>
        </w:rPr>
      </w:pPr>
      <w:r>
        <w:rPr>
          <w:b/>
          <w:noProof/>
          <w:color w:val="BE955B"/>
          <w:szCs w:val="24"/>
        </w:rPr>
        <mc:AlternateContent>
          <mc:Choice Requires="wps">
            <w:drawing>
              <wp:anchor distT="0" distB="0" distL="114300" distR="114300" simplePos="0" relativeHeight="251659264" behindDoc="0" locked="0" layoutInCell="1" allowOverlap="1" wp14:anchorId="7084B69B" wp14:editId="2E5E554A">
                <wp:simplePos x="0" y="0"/>
                <wp:positionH relativeFrom="column">
                  <wp:posOffset>1329267</wp:posOffset>
                </wp:positionH>
                <wp:positionV relativeFrom="paragraph">
                  <wp:posOffset>1168400</wp:posOffset>
                </wp:positionV>
                <wp:extent cx="4300220" cy="3048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43002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B84" w:rsidRPr="00E96B84" w:rsidRDefault="00E96B84" w:rsidP="00E96B84">
                            <w:pPr>
                              <w:spacing w:after="0"/>
                              <w:jc w:val="center"/>
                              <w:rPr>
                                <w:b/>
                                <w:color w:val="002E6D"/>
                                <w:sz w:val="28"/>
                                <w:szCs w:val="28"/>
                              </w:rPr>
                            </w:pPr>
                            <w:r w:rsidRPr="00E96B84">
                              <w:rPr>
                                <w:b/>
                                <w:color w:val="002E6D"/>
                                <w:sz w:val="28"/>
                                <w:szCs w:val="28"/>
                              </w:rPr>
                              <w:t>Access Services for Students with Disabilities</w:t>
                            </w:r>
                          </w:p>
                          <w:p w:rsidR="00E96B84" w:rsidRDefault="00E96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4B69B" id="_x0000_t202" coordsize="21600,21600" o:spt="202" path="m,l,21600r21600,l21600,xe">
                <v:stroke joinstyle="miter"/>
                <v:path gradientshapeok="t" o:connecttype="rect"/>
              </v:shapetype>
              <v:shape id="Text Box 2" o:spid="_x0000_s1026" type="#_x0000_t202" style="position:absolute;left:0;text-align:left;margin-left:104.65pt;margin-top:92pt;width:338.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" fillcolor="white [3201]" stroked="f" strokeweight=".5pt">
                <v:textbox>
                  <w:txbxContent>
                    <w:p w:rsidR="00E96B84" w:rsidRPr="00E96B84" w:rsidRDefault="00E96B84" w:rsidP="00E96B84">
                      <w:pPr>
                        <w:spacing w:after="0"/>
                        <w:jc w:val="center"/>
                        <w:rPr>
                          <w:b/>
                          <w:color w:val="002E6D"/>
                          <w:sz w:val="28"/>
                          <w:szCs w:val="28"/>
                        </w:rPr>
                      </w:pPr>
                      <w:r w:rsidRPr="00E96B84">
                        <w:rPr>
                          <w:b/>
                          <w:color w:val="002E6D"/>
                          <w:sz w:val="28"/>
                          <w:szCs w:val="28"/>
                        </w:rPr>
                        <w:t>Access Services for Students with Disabilities</w:t>
                      </w:r>
                    </w:p>
                    <w:p w:rsidR="00E96B84" w:rsidRDefault="00E96B84"/>
                  </w:txbxContent>
                </v:textbox>
              </v:shape>
            </w:pict>
          </mc:Fallback>
        </mc:AlternateContent>
      </w:r>
      <w:r w:rsidR="00C1433B">
        <w:rPr>
          <w:b/>
          <w:noProof/>
          <w:sz w:val="28"/>
          <w:szCs w:val="28"/>
        </w:rPr>
        <w:drawing>
          <wp:inline distT="0" distB="0" distL="0" distR="0" wp14:anchorId="1062ED97" wp14:editId="3E417726">
            <wp:extent cx="5000215" cy="1168400"/>
            <wp:effectExtent l="0" t="0" r="0" b="0"/>
            <wp:docPr id="1" name="Picture 1" descr="C:\Users\nemitche\Desktop\ECC Admissions\Work Pics\ECC Logos\E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mitche\Desktop\ECC Admissions\Work Pics\ECC Logos\ECC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965" cy="1169276"/>
                    </a:xfrm>
                    <a:prstGeom prst="rect">
                      <a:avLst/>
                    </a:prstGeom>
                    <a:noFill/>
                    <a:ln>
                      <a:noFill/>
                    </a:ln>
                  </pic:spPr>
                </pic:pic>
              </a:graphicData>
            </a:graphic>
          </wp:inline>
        </w:drawing>
      </w:r>
    </w:p>
    <w:p w:rsidR="00C1433B" w:rsidRPr="00C1433B" w:rsidRDefault="00C1433B" w:rsidP="00F5410E">
      <w:pPr>
        <w:jc w:val="center"/>
        <w:rPr>
          <w:b/>
          <w:color w:val="BE955B"/>
          <w:szCs w:val="24"/>
        </w:rPr>
      </w:pPr>
    </w:p>
    <w:p w:rsidR="00F5410E" w:rsidRPr="00C1433B" w:rsidRDefault="00F5410E" w:rsidP="00F5410E">
      <w:pPr>
        <w:jc w:val="center"/>
        <w:rPr>
          <w:b/>
          <w:color w:val="BE955B"/>
          <w:sz w:val="22"/>
        </w:rPr>
      </w:pPr>
      <w:r w:rsidRPr="00C1433B">
        <w:rPr>
          <w:b/>
          <w:color w:val="BE955B"/>
          <w:sz w:val="22"/>
        </w:rPr>
        <w:t>STUDENT RESPONSIBILIT</w:t>
      </w:r>
      <w:r w:rsidR="00B158D1">
        <w:rPr>
          <w:b/>
          <w:color w:val="BE955B"/>
          <w:sz w:val="22"/>
        </w:rPr>
        <w:t>I</w:t>
      </w:r>
      <w:r w:rsidRPr="00C1433B">
        <w:rPr>
          <w:b/>
          <w:color w:val="BE955B"/>
          <w:sz w:val="22"/>
        </w:rPr>
        <w:t>ES</w:t>
      </w:r>
    </w:p>
    <w:p w:rsidR="00F5410E" w:rsidRPr="00D55487" w:rsidRDefault="00623368" w:rsidP="00F5410E">
      <w:pPr>
        <w:rPr>
          <w:sz w:val="22"/>
        </w:rPr>
      </w:pPr>
      <w:r w:rsidRPr="00D55487">
        <w:rPr>
          <w:sz w:val="22"/>
        </w:rPr>
        <w:t>Access Servic</w:t>
      </w:r>
      <w:r w:rsidR="00F5410E" w:rsidRPr="00D55487">
        <w:rPr>
          <w:sz w:val="22"/>
        </w:rPr>
        <w:t xml:space="preserve">es provides supports for students who have documented permanent disabilities by making reasonable accommodations in regard to academic instruction and other college or student related activities.  Accommodations may include but are not limited to:  adaptive technology, environmental modifications, alternative testing arrangements, note taking services, and use of prerecorded media. </w:t>
      </w:r>
    </w:p>
    <w:p w:rsidR="00F5410E" w:rsidRDefault="00F5410E" w:rsidP="00F5410E">
      <w:pPr>
        <w:rPr>
          <w:b/>
          <w:color w:val="BE955B"/>
          <w:szCs w:val="24"/>
        </w:rPr>
      </w:pPr>
      <w:r w:rsidRPr="00C1433B">
        <w:rPr>
          <w:b/>
          <w:color w:val="BE955B"/>
          <w:szCs w:val="24"/>
        </w:rPr>
        <w:t xml:space="preserve">To </w:t>
      </w:r>
      <w:r w:rsidR="009C0D9C" w:rsidRPr="00C1433B">
        <w:rPr>
          <w:b/>
          <w:color w:val="BE955B"/>
          <w:szCs w:val="24"/>
        </w:rPr>
        <w:t>receive</w:t>
      </w:r>
      <w:r w:rsidRPr="00C1433B">
        <w:rPr>
          <w:b/>
          <w:color w:val="BE955B"/>
          <w:szCs w:val="24"/>
        </w:rPr>
        <w:t xml:space="preserve"> Access Services:</w:t>
      </w:r>
    </w:p>
    <w:p w:rsidR="005B2BA0" w:rsidRDefault="005B2BA0" w:rsidP="005B2BA0">
      <w:pPr>
        <w:spacing w:after="0"/>
        <w:rPr>
          <w:b/>
          <w:color w:val="002E6D"/>
          <w:sz w:val="22"/>
        </w:rPr>
      </w:pPr>
      <w:r w:rsidRPr="005B2BA0">
        <w:rPr>
          <w:b/>
          <w:color w:val="002E6D"/>
          <w:sz w:val="22"/>
        </w:rPr>
        <w:t>1.</w:t>
      </w:r>
      <w:r>
        <w:rPr>
          <w:b/>
          <w:color w:val="002E6D"/>
          <w:sz w:val="22"/>
        </w:rPr>
        <w:t xml:space="preserve">  Submit an application for Access Services</w:t>
      </w:r>
    </w:p>
    <w:p w:rsidR="005B2BA0" w:rsidRPr="005B2BA0" w:rsidRDefault="005B2BA0" w:rsidP="005B2BA0">
      <w:pPr>
        <w:spacing w:after="0"/>
        <w:rPr>
          <w:color w:val="002E6D"/>
          <w:sz w:val="22"/>
        </w:rPr>
      </w:pPr>
      <w:r>
        <w:rPr>
          <w:b/>
          <w:color w:val="002E6D"/>
          <w:sz w:val="22"/>
        </w:rPr>
        <w:tab/>
      </w:r>
      <w:r w:rsidRPr="005B2BA0">
        <w:rPr>
          <w:sz w:val="22"/>
        </w:rPr>
        <w:t>www.eastcentral.edu/access/application-form/</w:t>
      </w:r>
      <w:r w:rsidR="00F5410E" w:rsidRPr="005B2BA0">
        <w:rPr>
          <w:color w:val="002E6D"/>
          <w:sz w:val="22"/>
        </w:rPr>
        <w:t xml:space="preserve"> </w:t>
      </w:r>
    </w:p>
    <w:p w:rsidR="005B2BA0" w:rsidRDefault="005B2BA0" w:rsidP="00F5410E">
      <w:pPr>
        <w:spacing w:after="0"/>
        <w:rPr>
          <w:b/>
          <w:color w:val="002E6D"/>
          <w:sz w:val="22"/>
        </w:rPr>
      </w:pPr>
    </w:p>
    <w:p w:rsidR="00F5410E" w:rsidRPr="00C1433B" w:rsidRDefault="005B2BA0" w:rsidP="00F5410E">
      <w:pPr>
        <w:spacing w:after="0"/>
        <w:rPr>
          <w:b/>
          <w:color w:val="002E6D"/>
          <w:sz w:val="22"/>
        </w:rPr>
      </w:pPr>
      <w:r>
        <w:rPr>
          <w:b/>
          <w:color w:val="002E6D"/>
          <w:sz w:val="22"/>
        </w:rPr>
        <w:t xml:space="preserve">2.  </w:t>
      </w:r>
      <w:r w:rsidR="00F5410E" w:rsidRPr="00C1433B">
        <w:rPr>
          <w:b/>
          <w:color w:val="002E6D"/>
          <w:sz w:val="22"/>
        </w:rPr>
        <w:t>Make an appointment with an Access Counselor</w:t>
      </w:r>
    </w:p>
    <w:p w:rsidR="00F5410E" w:rsidRPr="00C1433B" w:rsidRDefault="00F5410E" w:rsidP="00F5410E">
      <w:pPr>
        <w:spacing w:after="0"/>
        <w:rPr>
          <w:sz w:val="22"/>
        </w:rPr>
      </w:pPr>
      <w:r w:rsidRPr="00C1433B">
        <w:rPr>
          <w:sz w:val="22"/>
        </w:rPr>
        <w:tab/>
        <w:t xml:space="preserve">Main Campus – call the Student Service Center at 636-584-6588 </w:t>
      </w:r>
    </w:p>
    <w:p w:rsidR="00F5410E" w:rsidRPr="00C1433B" w:rsidRDefault="00A865B8" w:rsidP="00F5410E">
      <w:pPr>
        <w:spacing w:after="0"/>
        <w:rPr>
          <w:sz w:val="22"/>
        </w:rPr>
      </w:pPr>
      <w:r>
        <w:rPr>
          <w:sz w:val="22"/>
        </w:rPr>
        <w:tab/>
        <w:t>Rolla Campus – call 573-466</w:t>
      </w:r>
      <w:r w:rsidR="00F5410E" w:rsidRPr="00C1433B">
        <w:rPr>
          <w:sz w:val="22"/>
        </w:rPr>
        <w:t>-</w:t>
      </w:r>
      <w:r>
        <w:rPr>
          <w:sz w:val="22"/>
        </w:rPr>
        <w:t>4100</w:t>
      </w:r>
    </w:p>
    <w:p w:rsidR="00F5410E" w:rsidRPr="00C1433B" w:rsidRDefault="00F5410E" w:rsidP="00F5410E">
      <w:pPr>
        <w:spacing w:after="0"/>
        <w:rPr>
          <w:color w:val="002E6D"/>
          <w:szCs w:val="24"/>
        </w:rPr>
      </w:pPr>
    </w:p>
    <w:p w:rsidR="00F5410E" w:rsidRPr="00C1433B" w:rsidRDefault="005B2BA0" w:rsidP="00F5410E">
      <w:pPr>
        <w:spacing w:after="0"/>
        <w:rPr>
          <w:b/>
          <w:color w:val="002E6D"/>
          <w:sz w:val="22"/>
        </w:rPr>
      </w:pPr>
      <w:r>
        <w:rPr>
          <w:b/>
          <w:color w:val="002E6D"/>
          <w:sz w:val="22"/>
        </w:rPr>
        <w:t>3</w:t>
      </w:r>
      <w:r w:rsidR="00F5410E" w:rsidRPr="00C1433B">
        <w:rPr>
          <w:b/>
          <w:color w:val="002E6D"/>
          <w:sz w:val="22"/>
        </w:rPr>
        <w:t>.  Submit Documentation of disability to Access Services</w:t>
      </w:r>
    </w:p>
    <w:p w:rsidR="00F5410E" w:rsidRPr="00C1433B" w:rsidRDefault="00F5410E" w:rsidP="00F5410E">
      <w:pPr>
        <w:spacing w:after="0"/>
        <w:rPr>
          <w:sz w:val="22"/>
        </w:rPr>
      </w:pPr>
      <w:r w:rsidRPr="00C1433B">
        <w:rPr>
          <w:sz w:val="22"/>
        </w:rPr>
        <w:tab/>
        <w:t>See reverse side for documentation requirements</w:t>
      </w:r>
    </w:p>
    <w:p w:rsidR="00F5410E" w:rsidRPr="00D55408" w:rsidRDefault="00F5410E" w:rsidP="00F5410E">
      <w:pPr>
        <w:spacing w:after="0"/>
        <w:rPr>
          <w:szCs w:val="24"/>
        </w:rPr>
      </w:pPr>
    </w:p>
    <w:p w:rsidR="00F5410E" w:rsidRPr="00C1433B" w:rsidRDefault="005B2BA0" w:rsidP="00F5410E">
      <w:pPr>
        <w:spacing w:after="0"/>
        <w:rPr>
          <w:b/>
          <w:color w:val="002E6D"/>
          <w:sz w:val="22"/>
        </w:rPr>
      </w:pPr>
      <w:r>
        <w:rPr>
          <w:b/>
          <w:color w:val="002E6D"/>
          <w:sz w:val="22"/>
        </w:rPr>
        <w:t>4</w:t>
      </w:r>
      <w:r w:rsidR="00F5410E" w:rsidRPr="00C1433B">
        <w:rPr>
          <w:b/>
          <w:color w:val="002E6D"/>
          <w:sz w:val="22"/>
        </w:rPr>
        <w:t>.  Meet with Access personnel to complete and discuss a “Service Request Form”</w:t>
      </w:r>
    </w:p>
    <w:p w:rsidR="00F5410E" w:rsidRPr="00C1433B" w:rsidRDefault="00F5410E" w:rsidP="00F5410E">
      <w:pPr>
        <w:spacing w:after="0"/>
        <w:rPr>
          <w:sz w:val="22"/>
        </w:rPr>
      </w:pPr>
      <w:r w:rsidRPr="00C1433B">
        <w:rPr>
          <w:sz w:val="22"/>
        </w:rPr>
        <w:tab/>
        <w:t xml:space="preserve">Must be completed </w:t>
      </w:r>
      <w:r w:rsidRPr="00C1433B">
        <w:rPr>
          <w:b/>
          <w:sz w:val="22"/>
          <w:u w:val="single"/>
        </w:rPr>
        <w:t>every</w:t>
      </w:r>
      <w:r w:rsidRPr="00C1433B">
        <w:rPr>
          <w:sz w:val="22"/>
        </w:rPr>
        <w:t xml:space="preserve"> semester for which services are requested.  Services are not automatic</w:t>
      </w:r>
      <w:bookmarkStart w:id="0" w:name="_GoBack"/>
      <w:bookmarkEnd w:id="0"/>
      <w:r w:rsidRPr="00C1433B">
        <w:rPr>
          <w:sz w:val="22"/>
        </w:rPr>
        <w:t xml:space="preserve">ally </w:t>
      </w:r>
      <w:r w:rsidRPr="00C1433B">
        <w:rPr>
          <w:sz w:val="22"/>
        </w:rPr>
        <w:tab/>
        <w:t xml:space="preserve">provided.  NOTE:  </w:t>
      </w:r>
      <w:r w:rsidRPr="00C1433B">
        <w:rPr>
          <w:i/>
          <w:sz w:val="22"/>
        </w:rPr>
        <w:t xml:space="preserve">Final approval of services cannot be made until the student has enrolled and current </w:t>
      </w:r>
      <w:r w:rsidRPr="00C1433B">
        <w:rPr>
          <w:i/>
          <w:sz w:val="22"/>
        </w:rPr>
        <w:tab/>
        <w:t>semester documentation has been completed</w:t>
      </w:r>
      <w:r w:rsidRPr="00C1433B">
        <w:rPr>
          <w:sz w:val="22"/>
        </w:rPr>
        <w:t>.</w:t>
      </w:r>
    </w:p>
    <w:p w:rsidR="009C0D9C" w:rsidRPr="00C1433B" w:rsidRDefault="009C0D9C" w:rsidP="00623368">
      <w:pPr>
        <w:spacing w:after="0"/>
        <w:rPr>
          <w:sz w:val="22"/>
        </w:rPr>
      </w:pPr>
    </w:p>
    <w:p w:rsidR="00623368" w:rsidRPr="00C1433B" w:rsidRDefault="005B2BA0" w:rsidP="00623368">
      <w:pPr>
        <w:spacing w:after="0"/>
        <w:rPr>
          <w:b/>
          <w:color w:val="002E6D"/>
          <w:sz w:val="22"/>
        </w:rPr>
      </w:pPr>
      <w:r>
        <w:rPr>
          <w:b/>
          <w:color w:val="002E6D"/>
          <w:sz w:val="22"/>
        </w:rPr>
        <w:t>5</w:t>
      </w:r>
      <w:r w:rsidR="00623368" w:rsidRPr="00C1433B">
        <w:rPr>
          <w:b/>
          <w:color w:val="002E6D"/>
          <w:sz w:val="22"/>
        </w:rPr>
        <w:t>.  Deliver “Instructor Notification Forms”</w:t>
      </w:r>
    </w:p>
    <w:p w:rsidR="00623368" w:rsidRPr="00C1433B" w:rsidRDefault="00623368" w:rsidP="00623368">
      <w:pPr>
        <w:spacing w:after="0"/>
        <w:rPr>
          <w:i/>
          <w:sz w:val="22"/>
        </w:rPr>
      </w:pPr>
      <w:r w:rsidRPr="00C1433B">
        <w:rPr>
          <w:sz w:val="22"/>
        </w:rPr>
        <w:tab/>
        <w:t xml:space="preserve">Students are responsible for communication their accommodations to instructors using the “Instructor </w:t>
      </w:r>
      <w:r w:rsidRPr="00C1433B">
        <w:rPr>
          <w:sz w:val="22"/>
        </w:rPr>
        <w:tab/>
        <w:t>Notification Form.”  This for</w:t>
      </w:r>
      <w:r w:rsidR="00EF5184">
        <w:rPr>
          <w:sz w:val="22"/>
        </w:rPr>
        <w:t>m</w:t>
      </w:r>
      <w:r w:rsidRPr="00C1433B">
        <w:rPr>
          <w:sz w:val="22"/>
        </w:rPr>
        <w:t xml:space="preserve"> will be completed when meeting with an Access Counselor prior to each </w:t>
      </w:r>
      <w:r w:rsidRPr="00C1433B">
        <w:rPr>
          <w:sz w:val="22"/>
        </w:rPr>
        <w:tab/>
        <w:t xml:space="preserve">semester.  The student is responsible for discussing the accommodation requested in the form with </w:t>
      </w:r>
      <w:r w:rsidRPr="00C1433B">
        <w:rPr>
          <w:sz w:val="22"/>
        </w:rPr>
        <w:tab/>
        <w:t xml:space="preserve">instructors.  </w:t>
      </w:r>
      <w:r w:rsidRPr="00C1433B">
        <w:rPr>
          <w:i/>
          <w:sz w:val="22"/>
        </w:rPr>
        <w:t xml:space="preserve">Access Staff can assist students with questions, concerns or issues when talking with </w:t>
      </w:r>
      <w:r w:rsidRPr="00C1433B">
        <w:rPr>
          <w:i/>
          <w:sz w:val="22"/>
        </w:rPr>
        <w:tab/>
        <w:t>instructors.</w:t>
      </w:r>
    </w:p>
    <w:p w:rsidR="00623368" w:rsidRPr="00C1433B" w:rsidRDefault="00623368" w:rsidP="00623368">
      <w:pPr>
        <w:spacing w:after="0"/>
        <w:rPr>
          <w:i/>
          <w:sz w:val="22"/>
        </w:rPr>
      </w:pPr>
    </w:p>
    <w:p w:rsidR="00623368" w:rsidRPr="00C1433B" w:rsidRDefault="005B2BA0" w:rsidP="00623368">
      <w:pPr>
        <w:spacing w:after="0"/>
        <w:rPr>
          <w:b/>
          <w:color w:val="002E6D"/>
          <w:sz w:val="22"/>
        </w:rPr>
      </w:pPr>
      <w:r>
        <w:rPr>
          <w:b/>
          <w:color w:val="002E6D"/>
          <w:sz w:val="22"/>
        </w:rPr>
        <w:t>6</w:t>
      </w:r>
      <w:r w:rsidR="00623368" w:rsidRPr="00C1433B">
        <w:rPr>
          <w:b/>
          <w:color w:val="002E6D"/>
          <w:sz w:val="22"/>
        </w:rPr>
        <w:t>.  Follow –through in arranging appropriate accommodations</w:t>
      </w:r>
    </w:p>
    <w:p w:rsidR="00623368" w:rsidRPr="00C1433B" w:rsidRDefault="00623368" w:rsidP="00C1433B">
      <w:pPr>
        <w:spacing w:after="0"/>
        <w:ind w:left="720"/>
        <w:rPr>
          <w:sz w:val="22"/>
        </w:rPr>
      </w:pPr>
      <w:r w:rsidRPr="00C1433B">
        <w:rPr>
          <w:sz w:val="22"/>
        </w:rPr>
        <w:t>Students who have alternative testing arrangements or other services insi</w:t>
      </w:r>
      <w:r w:rsidR="00941265">
        <w:rPr>
          <w:sz w:val="22"/>
        </w:rPr>
        <w:t xml:space="preserve">de or outside of the classroom </w:t>
      </w:r>
      <w:r w:rsidRPr="00C1433B">
        <w:rPr>
          <w:sz w:val="22"/>
        </w:rPr>
        <w:t xml:space="preserve">need to follow-through with the scheduling of those services.  Also, students should make all attempts to </w:t>
      </w:r>
      <w:r w:rsidRPr="00C1433B">
        <w:rPr>
          <w:sz w:val="22"/>
        </w:rPr>
        <w:tab/>
        <w:t>keep appointments that are scheduled with testing assistants and other professionals arranged through Access Services.</w:t>
      </w:r>
    </w:p>
    <w:p w:rsidR="00623368" w:rsidRPr="00C1433B" w:rsidRDefault="00623368" w:rsidP="00623368">
      <w:pPr>
        <w:spacing w:after="0"/>
        <w:rPr>
          <w:sz w:val="22"/>
        </w:rPr>
      </w:pPr>
    </w:p>
    <w:p w:rsidR="00623368" w:rsidRPr="00C1433B" w:rsidRDefault="005B2BA0" w:rsidP="00623368">
      <w:pPr>
        <w:spacing w:after="0"/>
        <w:rPr>
          <w:b/>
          <w:color w:val="002E6D"/>
          <w:sz w:val="22"/>
        </w:rPr>
      </w:pPr>
      <w:r>
        <w:rPr>
          <w:b/>
          <w:color w:val="002E6D"/>
          <w:sz w:val="22"/>
        </w:rPr>
        <w:t>7</w:t>
      </w:r>
      <w:r w:rsidR="00623368" w:rsidRPr="00C1433B">
        <w:rPr>
          <w:b/>
          <w:color w:val="002E6D"/>
          <w:sz w:val="22"/>
        </w:rPr>
        <w:t>.  Maintain contact with Access Services Staff</w:t>
      </w:r>
    </w:p>
    <w:p w:rsidR="00623368" w:rsidRPr="00C1433B" w:rsidRDefault="00623368" w:rsidP="00C1433B">
      <w:pPr>
        <w:spacing w:after="0"/>
        <w:ind w:left="720"/>
        <w:rPr>
          <w:sz w:val="22"/>
        </w:rPr>
      </w:pPr>
      <w:r w:rsidRPr="00C1433B">
        <w:rPr>
          <w:sz w:val="22"/>
        </w:rPr>
        <w:t xml:space="preserve">Student should </w:t>
      </w:r>
      <w:r w:rsidR="001A4447">
        <w:rPr>
          <w:sz w:val="22"/>
        </w:rPr>
        <w:t>in</w:t>
      </w:r>
      <w:r w:rsidRPr="00C1433B">
        <w:rPr>
          <w:sz w:val="22"/>
        </w:rPr>
        <w:t xml:space="preserve">form Access Services immediately of any changes in schedule, new accommodation needs, academic difficulties, prolonged non-attendance, concerns, etc.  </w:t>
      </w:r>
      <w:r w:rsidRPr="00C1433B">
        <w:rPr>
          <w:b/>
          <w:sz w:val="22"/>
        </w:rPr>
        <w:t>Changes in services and schedules can be made at any time after approval for Access Services</w:t>
      </w:r>
      <w:r w:rsidRPr="00C1433B">
        <w:rPr>
          <w:sz w:val="22"/>
        </w:rPr>
        <w:t xml:space="preserve">.  </w:t>
      </w:r>
      <w:r w:rsidRPr="00C1433B">
        <w:rPr>
          <w:i/>
          <w:sz w:val="22"/>
        </w:rPr>
        <w:t>If a course is dropped the Access Counselor should be notified immediately</w:t>
      </w:r>
      <w:r w:rsidRPr="00C1433B">
        <w:rPr>
          <w:sz w:val="22"/>
        </w:rPr>
        <w:t xml:space="preserve"> because the support services scheduled in that class will need to be cancelled.  This is extremely important to ensure that resources are not used to fund services that are no longer needed.</w:t>
      </w:r>
    </w:p>
    <w:p w:rsidR="00C93A0C" w:rsidRDefault="00C93A0C" w:rsidP="00D55487">
      <w:pPr>
        <w:rPr>
          <w:b/>
          <w:color w:val="002E6D"/>
          <w:szCs w:val="24"/>
        </w:rPr>
      </w:pPr>
    </w:p>
    <w:p w:rsidR="00D55487" w:rsidRPr="00C1433B" w:rsidRDefault="00D55487" w:rsidP="00D55487">
      <w:pPr>
        <w:rPr>
          <w:b/>
          <w:color w:val="002E6D"/>
          <w:szCs w:val="24"/>
        </w:rPr>
      </w:pPr>
      <w:r w:rsidRPr="00C1433B">
        <w:rPr>
          <w:b/>
          <w:color w:val="002E6D"/>
          <w:szCs w:val="24"/>
        </w:rPr>
        <w:t>Disability Documentation Requirements</w:t>
      </w:r>
      <w:r w:rsidR="00C1433B" w:rsidRPr="00C1433B">
        <w:rPr>
          <w:b/>
          <w:color w:val="002E6D"/>
          <w:szCs w:val="24"/>
        </w:rPr>
        <w:t>:</w:t>
      </w:r>
    </w:p>
    <w:p w:rsidR="00D55487" w:rsidRPr="00C1433B" w:rsidRDefault="00D55487" w:rsidP="00D55487">
      <w:pPr>
        <w:rPr>
          <w:sz w:val="22"/>
        </w:rPr>
      </w:pPr>
      <w:r w:rsidRPr="00C1433B">
        <w:rPr>
          <w:sz w:val="22"/>
        </w:rPr>
        <w:t>Students enrolling at East Central College who are seeking services for a disability must submit appropriate documentation and meet with an Access Counselor in order to receive services. Typically, the documentation must be dated within the last five years and must be in typed format. The documentation required will vary according to the type of disability and must be reviewed by an Access Counselor. Though most situations require a student to submit documentation only one time, Access Services reserves the right to request additional documentation prior to determining eligibility for services each semester.</w:t>
      </w:r>
    </w:p>
    <w:p w:rsidR="00D55487" w:rsidRPr="00C1433B" w:rsidRDefault="00D55487" w:rsidP="00D55487">
      <w:pPr>
        <w:rPr>
          <w:b/>
          <w:color w:val="002E6D"/>
          <w:szCs w:val="24"/>
        </w:rPr>
      </w:pPr>
      <w:r w:rsidRPr="00C1433B">
        <w:rPr>
          <w:b/>
          <w:color w:val="002E6D"/>
          <w:szCs w:val="24"/>
        </w:rPr>
        <w:t>Disability documentation should include:</w:t>
      </w:r>
    </w:p>
    <w:p w:rsidR="00D55487" w:rsidRPr="00C1433B" w:rsidRDefault="00D55487" w:rsidP="00D55487">
      <w:pPr>
        <w:pStyle w:val="ListParagraph"/>
        <w:numPr>
          <w:ilvl w:val="0"/>
          <w:numId w:val="3"/>
        </w:numPr>
        <w:rPr>
          <w:sz w:val="20"/>
          <w:szCs w:val="20"/>
        </w:rPr>
      </w:pPr>
      <w:r w:rsidRPr="00C1433B">
        <w:rPr>
          <w:b/>
          <w:i/>
          <w:color w:val="BE955B"/>
          <w:sz w:val="20"/>
          <w:szCs w:val="20"/>
        </w:rPr>
        <w:t>A diagnostic statement</w:t>
      </w:r>
      <w:r w:rsidRPr="00C1433B">
        <w:rPr>
          <w:color w:val="BE955B"/>
          <w:sz w:val="20"/>
          <w:szCs w:val="20"/>
        </w:rPr>
        <w:t xml:space="preserve"> </w:t>
      </w:r>
      <w:r w:rsidRPr="00C1433B">
        <w:rPr>
          <w:sz w:val="20"/>
          <w:szCs w:val="20"/>
        </w:rPr>
        <w:t>identifying the disability, date of the current diagnostic evaluation, and date of original diagnosis.</w:t>
      </w:r>
    </w:p>
    <w:p w:rsidR="00D55487" w:rsidRPr="00C1433B" w:rsidRDefault="00D55487" w:rsidP="00D55487">
      <w:pPr>
        <w:pStyle w:val="ListParagraph"/>
        <w:numPr>
          <w:ilvl w:val="0"/>
          <w:numId w:val="3"/>
        </w:numPr>
        <w:rPr>
          <w:sz w:val="20"/>
          <w:szCs w:val="20"/>
        </w:rPr>
      </w:pPr>
      <w:r w:rsidRPr="00C1433B">
        <w:rPr>
          <w:b/>
          <w:i/>
          <w:color w:val="BE955B"/>
          <w:sz w:val="20"/>
          <w:szCs w:val="20"/>
        </w:rPr>
        <w:t>A description of the diagnostic criteria</w:t>
      </w:r>
      <w:r w:rsidRPr="00C1433B">
        <w:rPr>
          <w:color w:val="BE955B"/>
          <w:sz w:val="20"/>
          <w:szCs w:val="20"/>
        </w:rPr>
        <w:t xml:space="preserve"> </w:t>
      </w:r>
      <w:r w:rsidRPr="00C1433B">
        <w:rPr>
          <w:sz w:val="20"/>
          <w:szCs w:val="20"/>
        </w:rPr>
        <w:t>and/or diagnostic test(s) used, along with specific test results.</w:t>
      </w:r>
    </w:p>
    <w:p w:rsidR="00D55487" w:rsidRPr="00C1433B" w:rsidRDefault="00F32BF1" w:rsidP="00D55487">
      <w:pPr>
        <w:pStyle w:val="ListParagraph"/>
        <w:numPr>
          <w:ilvl w:val="0"/>
          <w:numId w:val="3"/>
        </w:numPr>
        <w:rPr>
          <w:sz w:val="20"/>
          <w:szCs w:val="20"/>
        </w:rPr>
      </w:pPr>
      <w:r w:rsidRPr="00C1433B">
        <w:rPr>
          <w:b/>
          <w:i/>
          <w:color w:val="BE955B"/>
          <w:sz w:val="20"/>
          <w:szCs w:val="20"/>
        </w:rPr>
        <w:t>A description of the current functional impact of the disability</w:t>
      </w:r>
      <w:r w:rsidRPr="00C1433B">
        <w:rPr>
          <w:color w:val="BE955B"/>
          <w:sz w:val="20"/>
          <w:szCs w:val="20"/>
        </w:rPr>
        <w:t xml:space="preserve"> </w:t>
      </w:r>
      <w:r w:rsidRPr="00C1433B">
        <w:rPr>
          <w:sz w:val="20"/>
          <w:szCs w:val="20"/>
        </w:rPr>
        <w:t>in the educational environment.</w:t>
      </w:r>
    </w:p>
    <w:p w:rsidR="00F32BF1" w:rsidRPr="00C1433B" w:rsidRDefault="00F32BF1" w:rsidP="00D55487">
      <w:pPr>
        <w:pStyle w:val="ListParagraph"/>
        <w:numPr>
          <w:ilvl w:val="0"/>
          <w:numId w:val="3"/>
        </w:numPr>
        <w:rPr>
          <w:sz w:val="20"/>
          <w:szCs w:val="20"/>
        </w:rPr>
      </w:pPr>
      <w:r w:rsidRPr="00C1433B">
        <w:rPr>
          <w:b/>
          <w:i/>
          <w:color w:val="BE955B"/>
          <w:sz w:val="20"/>
          <w:szCs w:val="20"/>
        </w:rPr>
        <w:t>Treatments, medications, assistive devices/services</w:t>
      </w:r>
      <w:r w:rsidRPr="00C1433B">
        <w:rPr>
          <w:color w:val="BE955B"/>
          <w:sz w:val="20"/>
          <w:szCs w:val="20"/>
        </w:rPr>
        <w:t xml:space="preserve"> </w:t>
      </w:r>
      <w:r w:rsidRPr="00C1433B">
        <w:rPr>
          <w:sz w:val="20"/>
          <w:szCs w:val="20"/>
        </w:rPr>
        <w:t>currently prescribed or in use.</w:t>
      </w:r>
    </w:p>
    <w:p w:rsidR="00F32BF1" w:rsidRPr="00C1433B" w:rsidRDefault="00F32BF1" w:rsidP="00D55487">
      <w:pPr>
        <w:pStyle w:val="ListParagraph"/>
        <w:numPr>
          <w:ilvl w:val="0"/>
          <w:numId w:val="3"/>
        </w:numPr>
        <w:rPr>
          <w:sz w:val="20"/>
          <w:szCs w:val="20"/>
        </w:rPr>
      </w:pPr>
      <w:r w:rsidRPr="00C1433B">
        <w:rPr>
          <w:b/>
          <w:i/>
          <w:color w:val="BE955B"/>
          <w:sz w:val="20"/>
          <w:szCs w:val="20"/>
        </w:rPr>
        <w:t>A description of the expected progression or stability</w:t>
      </w:r>
      <w:r w:rsidRPr="00C1433B">
        <w:rPr>
          <w:color w:val="BE955B"/>
          <w:sz w:val="20"/>
          <w:szCs w:val="20"/>
        </w:rPr>
        <w:t xml:space="preserve"> </w:t>
      </w:r>
      <w:r w:rsidRPr="00C1433B">
        <w:rPr>
          <w:sz w:val="20"/>
          <w:szCs w:val="20"/>
        </w:rPr>
        <w:t>of the disability over time.</w:t>
      </w:r>
    </w:p>
    <w:p w:rsidR="00F32BF1" w:rsidRPr="00C1433B" w:rsidRDefault="00F32BF1" w:rsidP="00D55487">
      <w:pPr>
        <w:pStyle w:val="ListParagraph"/>
        <w:numPr>
          <w:ilvl w:val="0"/>
          <w:numId w:val="3"/>
        </w:numPr>
        <w:rPr>
          <w:sz w:val="20"/>
          <w:szCs w:val="20"/>
        </w:rPr>
      </w:pPr>
      <w:r w:rsidRPr="00C1433B">
        <w:rPr>
          <w:b/>
          <w:i/>
          <w:color w:val="BE955B"/>
          <w:sz w:val="20"/>
          <w:szCs w:val="20"/>
        </w:rPr>
        <w:t>Recommendations for effective academic accommodations</w:t>
      </w:r>
      <w:r w:rsidRPr="00C1433B">
        <w:rPr>
          <w:color w:val="BE955B"/>
          <w:sz w:val="20"/>
          <w:szCs w:val="20"/>
        </w:rPr>
        <w:t xml:space="preserve"> </w:t>
      </w:r>
      <w:r w:rsidRPr="00C1433B">
        <w:rPr>
          <w:sz w:val="20"/>
          <w:szCs w:val="20"/>
        </w:rPr>
        <w:t>to equalize educational opportunities at the post-secondary level.</w:t>
      </w:r>
    </w:p>
    <w:p w:rsidR="00C1433B" w:rsidRDefault="00F32BF1" w:rsidP="00C1433B">
      <w:pPr>
        <w:pStyle w:val="ListParagraph"/>
        <w:numPr>
          <w:ilvl w:val="0"/>
          <w:numId w:val="3"/>
        </w:numPr>
        <w:rPr>
          <w:sz w:val="20"/>
          <w:szCs w:val="20"/>
        </w:rPr>
      </w:pPr>
      <w:r w:rsidRPr="00C1433B">
        <w:rPr>
          <w:b/>
          <w:i/>
          <w:color w:val="BE955B"/>
          <w:sz w:val="20"/>
          <w:szCs w:val="20"/>
        </w:rPr>
        <w:t>The credential, address, phone and other contact information</w:t>
      </w:r>
      <w:r w:rsidRPr="00C1433B">
        <w:rPr>
          <w:color w:val="BE955B"/>
          <w:sz w:val="20"/>
          <w:szCs w:val="20"/>
        </w:rPr>
        <w:t xml:space="preserve"> </w:t>
      </w:r>
      <w:r w:rsidRPr="00C1433B">
        <w:rPr>
          <w:sz w:val="20"/>
          <w:szCs w:val="20"/>
        </w:rPr>
        <w:t>of the diagnosing professional(s).</w:t>
      </w:r>
    </w:p>
    <w:p w:rsidR="00C1433B" w:rsidRPr="00C1433B" w:rsidRDefault="00C1433B" w:rsidP="00C1433B">
      <w:pPr>
        <w:pStyle w:val="ListParagraph"/>
        <w:rPr>
          <w:sz w:val="20"/>
          <w:szCs w:val="20"/>
        </w:rPr>
      </w:pPr>
    </w:p>
    <w:p w:rsidR="00F32BF1" w:rsidRPr="00C1433B" w:rsidRDefault="00F32BF1" w:rsidP="00F32BF1">
      <w:pPr>
        <w:spacing w:after="0"/>
        <w:rPr>
          <w:color w:val="002E6D"/>
          <w:sz w:val="20"/>
          <w:szCs w:val="20"/>
        </w:rPr>
      </w:pPr>
      <w:r w:rsidRPr="00C1433B">
        <w:rPr>
          <w:color w:val="002E6D"/>
          <w:sz w:val="20"/>
          <w:szCs w:val="20"/>
        </w:rPr>
        <w:t>Disability</w:t>
      </w:r>
      <w:r w:rsidR="009C0D9C" w:rsidRPr="00C1433B">
        <w:rPr>
          <w:color w:val="002E6D"/>
          <w:sz w:val="20"/>
          <w:szCs w:val="20"/>
        </w:rPr>
        <w:t>:</w:t>
      </w:r>
      <w:r w:rsidRPr="00C1433B">
        <w:rPr>
          <w:color w:val="002E6D"/>
          <w:sz w:val="20"/>
          <w:szCs w:val="20"/>
        </w:rPr>
        <w:tab/>
      </w:r>
      <w:r w:rsidRPr="00C1433B">
        <w:rPr>
          <w:color w:val="002E6D"/>
          <w:sz w:val="20"/>
          <w:szCs w:val="20"/>
        </w:rPr>
        <w:tab/>
      </w:r>
      <w:r w:rsidRPr="00C1433B">
        <w:rPr>
          <w:color w:val="002E6D"/>
          <w:sz w:val="20"/>
          <w:szCs w:val="20"/>
        </w:rPr>
        <w:tab/>
        <w:t>Typical Required Documentation</w:t>
      </w:r>
      <w:r w:rsidR="009C0D9C" w:rsidRPr="00C1433B">
        <w:rPr>
          <w:color w:val="002E6D"/>
          <w:sz w:val="20"/>
          <w:szCs w:val="20"/>
        </w:rPr>
        <w:t>:</w:t>
      </w:r>
    </w:p>
    <w:tbl>
      <w:tblPr>
        <w:tblStyle w:val="TableGrid"/>
        <w:tblW w:w="0" w:type="auto"/>
        <w:tblLook w:val="04A0" w:firstRow="1" w:lastRow="0" w:firstColumn="1" w:lastColumn="0" w:noHBand="0" w:noVBand="1"/>
      </w:tblPr>
      <w:tblGrid>
        <w:gridCol w:w="2852"/>
        <w:gridCol w:w="7938"/>
      </w:tblGrid>
      <w:tr w:rsidR="00F32BF1" w:rsidTr="009C0D9C">
        <w:tc>
          <w:tcPr>
            <w:tcW w:w="2898" w:type="dxa"/>
            <w:shd w:val="clear" w:color="auto" w:fill="D9D9D9" w:themeFill="background1" w:themeFillShade="D9"/>
          </w:tcPr>
          <w:p w:rsidR="00F32BF1" w:rsidRDefault="00F32BF1" w:rsidP="00F32BF1">
            <w:pPr>
              <w:rPr>
                <w:sz w:val="20"/>
                <w:szCs w:val="20"/>
              </w:rPr>
            </w:pPr>
            <w:r>
              <w:rPr>
                <w:sz w:val="20"/>
                <w:szCs w:val="20"/>
              </w:rPr>
              <w:t>Learning Disability</w:t>
            </w:r>
          </w:p>
        </w:tc>
        <w:tc>
          <w:tcPr>
            <w:tcW w:w="8118" w:type="dxa"/>
            <w:shd w:val="clear" w:color="auto" w:fill="D9D9D9" w:themeFill="background1" w:themeFillShade="D9"/>
          </w:tcPr>
          <w:p w:rsidR="00F32BF1" w:rsidRDefault="00F32BF1" w:rsidP="00F32BF1">
            <w:pPr>
              <w:rPr>
                <w:sz w:val="20"/>
                <w:szCs w:val="20"/>
              </w:rPr>
            </w:pPr>
            <w:r>
              <w:rPr>
                <w:sz w:val="20"/>
                <w:szCs w:val="20"/>
              </w:rPr>
              <w:t>Complete adult intelligence and achievement test results by a qualified psychological examiner</w:t>
            </w:r>
          </w:p>
        </w:tc>
      </w:tr>
      <w:tr w:rsidR="00F32BF1" w:rsidTr="00F32BF1">
        <w:tc>
          <w:tcPr>
            <w:tcW w:w="2898" w:type="dxa"/>
          </w:tcPr>
          <w:p w:rsidR="00F32BF1" w:rsidRDefault="00F32BF1" w:rsidP="00F32BF1">
            <w:pPr>
              <w:rPr>
                <w:sz w:val="20"/>
                <w:szCs w:val="20"/>
              </w:rPr>
            </w:pPr>
            <w:r>
              <w:rPr>
                <w:sz w:val="20"/>
                <w:szCs w:val="20"/>
              </w:rPr>
              <w:t>Health Impairment</w:t>
            </w:r>
          </w:p>
        </w:tc>
        <w:tc>
          <w:tcPr>
            <w:tcW w:w="8118" w:type="dxa"/>
          </w:tcPr>
          <w:p w:rsidR="00F32BF1" w:rsidRDefault="00F32BF1" w:rsidP="00F32BF1">
            <w:pPr>
              <w:rPr>
                <w:sz w:val="20"/>
                <w:szCs w:val="20"/>
              </w:rPr>
            </w:pPr>
            <w:r>
              <w:rPr>
                <w:sz w:val="20"/>
                <w:szCs w:val="20"/>
              </w:rPr>
              <w:t>Statement of diagnosis from a medical doctor</w:t>
            </w:r>
          </w:p>
        </w:tc>
      </w:tr>
      <w:tr w:rsidR="00F32BF1" w:rsidTr="009C0D9C">
        <w:tc>
          <w:tcPr>
            <w:tcW w:w="2898" w:type="dxa"/>
            <w:shd w:val="clear" w:color="auto" w:fill="D9D9D9" w:themeFill="background1" w:themeFillShade="D9"/>
          </w:tcPr>
          <w:p w:rsidR="00F32BF1" w:rsidRDefault="00F32BF1" w:rsidP="00F32BF1">
            <w:pPr>
              <w:rPr>
                <w:sz w:val="20"/>
                <w:szCs w:val="20"/>
              </w:rPr>
            </w:pPr>
            <w:r>
              <w:rPr>
                <w:sz w:val="20"/>
                <w:szCs w:val="20"/>
              </w:rPr>
              <w:t>Head Injury</w:t>
            </w:r>
          </w:p>
        </w:tc>
        <w:tc>
          <w:tcPr>
            <w:tcW w:w="8118" w:type="dxa"/>
            <w:shd w:val="clear" w:color="auto" w:fill="D9D9D9" w:themeFill="background1" w:themeFillShade="D9"/>
          </w:tcPr>
          <w:p w:rsidR="00F32BF1" w:rsidRDefault="00F32BF1" w:rsidP="00F32BF1">
            <w:pPr>
              <w:rPr>
                <w:sz w:val="20"/>
                <w:szCs w:val="20"/>
              </w:rPr>
            </w:pPr>
            <w:r>
              <w:rPr>
                <w:sz w:val="20"/>
                <w:szCs w:val="20"/>
              </w:rPr>
              <w:t>Psychological testing and rehabilitation reports</w:t>
            </w:r>
          </w:p>
        </w:tc>
      </w:tr>
      <w:tr w:rsidR="00F32BF1" w:rsidTr="00F32BF1">
        <w:tc>
          <w:tcPr>
            <w:tcW w:w="2898" w:type="dxa"/>
          </w:tcPr>
          <w:p w:rsidR="00F32BF1" w:rsidRDefault="00F32BF1" w:rsidP="00F32BF1">
            <w:pPr>
              <w:rPr>
                <w:sz w:val="20"/>
                <w:szCs w:val="20"/>
              </w:rPr>
            </w:pPr>
            <w:r>
              <w:rPr>
                <w:sz w:val="20"/>
                <w:szCs w:val="20"/>
              </w:rPr>
              <w:t>Chemical Dependency</w:t>
            </w:r>
          </w:p>
        </w:tc>
        <w:tc>
          <w:tcPr>
            <w:tcW w:w="8118" w:type="dxa"/>
          </w:tcPr>
          <w:p w:rsidR="00F32BF1" w:rsidRDefault="00F32BF1" w:rsidP="00F32BF1">
            <w:pPr>
              <w:rPr>
                <w:sz w:val="20"/>
                <w:szCs w:val="20"/>
              </w:rPr>
            </w:pPr>
            <w:r>
              <w:rPr>
                <w:sz w:val="20"/>
                <w:szCs w:val="20"/>
              </w:rPr>
              <w:t>Documentation from a psychiatrist, psychologist or other licensed mental health professional</w:t>
            </w:r>
          </w:p>
        </w:tc>
      </w:tr>
      <w:tr w:rsidR="00F32BF1" w:rsidTr="009C0D9C">
        <w:tc>
          <w:tcPr>
            <w:tcW w:w="2898" w:type="dxa"/>
            <w:shd w:val="clear" w:color="auto" w:fill="D9D9D9" w:themeFill="background1" w:themeFillShade="D9"/>
          </w:tcPr>
          <w:p w:rsidR="00F32BF1" w:rsidRDefault="00F32BF1" w:rsidP="00F32BF1">
            <w:pPr>
              <w:rPr>
                <w:sz w:val="20"/>
                <w:szCs w:val="20"/>
              </w:rPr>
            </w:pPr>
            <w:r>
              <w:rPr>
                <w:sz w:val="20"/>
                <w:szCs w:val="20"/>
              </w:rPr>
              <w:t>Hearing Impairment; Deafness</w:t>
            </w:r>
          </w:p>
        </w:tc>
        <w:tc>
          <w:tcPr>
            <w:tcW w:w="8118" w:type="dxa"/>
            <w:shd w:val="clear" w:color="auto" w:fill="D9D9D9" w:themeFill="background1" w:themeFillShade="D9"/>
          </w:tcPr>
          <w:p w:rsidR="00F32BF1" w:rsidRDefault="00F32BF1" w:rsidP="00F32BF1">
            <w:pPr>
              <w:rPr>
                <w:sz w:val="20"/>
                <w:szCs w:val="20"/>
              </w:rPr>
            </w:pPr>
            <w:r>
              <w:rPr>
                <w:sz w:val="20"/>
                <w:szCs w:val="20"/>
              </w:rPr>
              <w:t>Documentation from an audiologist</w:t>
            </w:r>
          </w:p>
        </w:tc>
      </w:tr>
      <w:tr w:rsidR="00F32BF1" w:rsidTr="00F32BF1">
        <w:tc>
          <w:tcPr>
            <w:tcW w:w="2898" w:type="dxa"/>
          </w:tcPr>
          <w:p w:rsidR="00F32BF1" w:rsidRDefault="00F32BF1" w:rsidP="00F32BF1">
            <w:pPr>
              <w:rPr>
                <w:sz w:val="20"/>
                <w:szCs w:val="20"/>
              </w:rPr>
            </w:pPr>
            <w:r>
              <w:rPr>
                <w:sz w:val="20"/>
                <w:szCs w:val="20"/>
              </w:rPr>
              <w:t>Visual Impairment Blindness</w:t>
            </w:r>
          </w:p>
        </w:tc>
        <w:tc>
          <w:tcPr>
            <w:tcW w:w="8118" w:type="dxa"/>
          </w:tcPr>
          <w:p w:rsidR="00F32BF1" w:rsidRDefault="00F32BF1" w:rsidP="00F32BF1">
            <w:pPr>
              <w:rPr>
                <w:sz w:val="20"/>
                <w:szCs w:val="20"/>
              </w:rPr>
            </w:pPr>
            <w:r>
              <w:rPr>
                <w:sz w:val="20"/>
                <w:szCs w:val="20"/>
              </w:rPr>
              <w:t>Documentation of visual acuity tests</w:t>
            </w:r>
          </w:p>
        </w:tc>
      </w:tr>
    </w:tbl>
    <w:p w:rsidR="00F32BF1" w:rsidRDefault="00F32BF1" w:rsidP="00F32BF1">
      <w:pPr>
        <w:rPr>
          <w:sz w:val="20"/>
          <w:szCs w:val="20"/>
        </w:rPr>
      </w:pPr>
    </w:p>
    <w:p w:rsidR="009C0D9C" w:rsidRPr="00C1433B" w:rsidRDefault="009C0D9C" w:rsidP="009C0D9C">
      <w:pPr>
        <w:spacing w:after="0"/>
        <w:rPr>
          <w:b/>
          <w:color w:val="002E6D"/>
          <w:szCs w:val="24"/>
        </w:rPr>
      </w:pPr>
      <w:r w:rsidRPr="00C1433B">
        <w:rPr>
          <w:b/>
          <w:color w:val="002E6D"/>
          <w:szCs w:val="24"/>
        </w:rPr>
        <w:t>Temporary Disabilities:</w:t>
      </w:r>
    </w:p>
    <w:p w:rsidR="009C0D9C" w:rsidRDefault="009C0D9C" w:rsidP="009C0D9C">
      <w:pPr>
        <w:spacing w:after="0"/>
        <w:rPr>
          <w:sz w:val="20"/>
          <w:szCs w:val="20"/>
        </w:rPr>
      </w:pPr>
      <w:r>
        <w:rPr>
          <w:sz w:val="20"/>
          <w:szCs w:val="20"/>
        </w:rPr>
        <w:t>Although students with temporary disabilities are not covered under the American with Disabilities Act of 1990, Access services are available to assist these students with their needs.  Current documentation is required for accommodations and should include:</w:t>
      </w:r>
    </w:p>
    <w:p w:rsidR="009C0D9C" w:rsidRDefault="009C0D9C" w:rsidP="009C0D9C">
      <w:pPr>
        <w:pStyle w:val="ListParagraph"/>
        <w:numPr>
          <w:ilvl w:val="0"/>
          <w:numId w:val="4"/>
        </w:numPr>
        <w:spacing w:after="0"/>
        <w:rPr>
          <w:sz w:val="20"/>
          <w:szCs w:val="20"/>
        </w:rPr>
      </w:pPr>
      <w:r>
        <w:rPr>
          <w:sz w:val="20"/>
          <w:szCs w:val="20"/>
        </w:rPr>
        <w:t>A clear statement of the ICD diagnosis, including pertinent history.</w:t>
      </w:r>
    </w:p>
    <w:p w:rsidR="009C0D9C" w:rsidRDefault="009C0D9C" w:rsidP="009C0D9C">
      <w:pPr>
        <w:pStyle w:val="ListParagraph"/>
        <w:numPr>
          <w:ilvl w:val="0"/>
          <w:numId w:val="4"/>
        </w:numPr>
        <w:spacing w:after="0"/>
        <w:rPr>
          <w:sz w:val="20"/>
          <w:szCs w:val="20"/>
        </w:rPr>
      </w:pPr>
      <w:r>
        <w:rPr>
          <w:sz w:val="20"/>
          <w:szCs w:val="20"/>
        </w:rPr>
        <w:t>A description of present symptoms, fluctuating conditions or symptoms.</w:t>
      </w:r>
    </w:p>
    <w:p w:rsidR="009C0D9C" w:rsidRDefault="009C0D9C" w:rsidP="009C0D9C">
      <w:pPr>
        <w:pStyle w:val="ListParagraph"/>
        <w:numPr>
          <w:ilvl w:val="0"/>
          <w:numId w:val="4"/>
        </w:numPr>
        <w:spacing w:after="0"/>
        <w:rPr>
          <w:sz w:val="20"/>
          <w:szCs w:val="20"/>
        </w:rPr>
      </w:pPr>
      <w:r>
        <w:rPr>
          <w:sz w:val="20"/>
          <w:szCs w:val="20"/>
        </w:rPr>
        <w:t>The expected duration of the condition and prognosis</w:t>
      </w:r>
    </w:p>
    <w:p w:rsidR="009C0D9C" w:rsidRDefault="009C0D9C" w:rsidP="009C0D9C">
      <w:pPr>
        <w:spacing w:after="0"/>
        <w:rPr>
          <w:sz w:val="20"/>
          <w:szCs w:val="20"/>
        </w:rPr>
      </w:pPr>
    </w:p>
    <w:p w:rsidR="009C0D9C" w:rsidRPr="00D55487" w:rsidRDefault="009C0D9C" w:rsidP="009C0D9C">
      <w:pPr>
        <w:spacing w:after="0"/>
        <w:rPr>
          <w:b/>
          <w:sz w:val="22"/>
        </w:rPr>
      </w:pPr>
      <w:r w:rsidRPr="00C1433B">
        <w:rPr>
          <w:b/>
          <w:color w:val="002E6D"/>
          <w:szCs w:val="24"/>
        </w:rPr>
        <w:t>Access Staff</w:t>
      </w:r>
      <w:r w:rsidR="00C1433B">
        <w:rPr>
          <w:b/>
          <w:color w:val="002E6D"/>
          <w:szCs w:val="24"/>
        </w:rPr>
        <w:t>:</w:t>
      </w:r>
      <w:r w:rsidRPr="00D55487">
        <w:rPr>
          <w:b/>
          <w:sz w:val="22"/>
        </w:rPr>
        <w:tab/>
      </w:r>
      <w:r w:rsidRPr="00D55487">
        <w:rPr>
          <w:b/>
          <w:sz w:val="22"/>
        </w:rPr>
        <w:tab/>
      </w:r>
      <w:r w:rsidRPr="00D55487">
        <w:rPr>
          <w:b/>
          <w:sz w:val="22"/>
        </w:rPr>
        <w:tab/>
      </w:r>
      <w:r w:rsidRPr="00D55487">
        <w:rPr>
          <w:b/>
          <w:sz w:val="22"/>
        </w:rPr>
        <w:tab/>
      </w:r>
      <w:r w:rsidRPr="00D55487">
        <w:rPr>
          <w:b/>
          <w:sz w:val="22"/>
        </w:rPr>
        <w:tab/>
      </w:r>
      <w:r w:rsidRPr="00D55487">
        <w:rPr>
          <w:b/>
          <w:sz w:val="22"/>
        </w:rPr>
        <w:tab/>
      </w:r>
      <w:r w:rsidR="00464E96">
        <w:rPr>
          <w:b/>
          <w:color w:val="002E6D"/>
          <w:szCs w:val="24"/>
        </w:rPr>
        <w:t>Email C</w:t>
      </w:r>
      <w:r w:rsidRPr="00C1433B">
        <w:rPr>
          <w:b/>
          <w:color w:val="002E6D"/>
          <w:szCs w:val="24"/>
        </w:rPr>
        <w:t>ontact:</w:t>
      </w:r>
    </w:p>
    <w:p w:rsidR="009C0D9C" w:rsidRDefault="009C0D9C" w:rsidP="009C0D9C">
      <w:pPr>
        <w:spacing w:after="0"/>
        <w:rPr>
          <w:sz w:val="22"/>
        </w:rPr>
      </w:pPr>
      <w:r>
        <w:rPr>
          <w:sz w:val="22"/>
        </w:rPr>
        <w:t>Jenny Kuchem</w:t>
      </w:r>
      <w:r>
        <w:rPr>
          <w:sz w:val="22"/>
        </w:rPr>
        <w:tab/>
      </w:r>
      <w:r>
        <w:rPr>
          <w:sz w:val="22"/>
        </w:rPr>
        <w:tab/>
        <w:t>Counselor</w:t>
      </w:r>
      <w:r>
        <w:rPr>
          <w:sz w:val="22"/>
        </w:rPr>
        <w:tab/>
      </w:r>
      <w:r>
        <w:rPr>
          <w:sz w:val="22"/>
        </w:rPr>
        <w:tab/>
      </w:r>
      <w:r>
        <w:rPr>
          <w:sz w:val="22"/>
        </w:rPr>
        <w:tab/>
      </w:r>
      <w:r w:rsidR="003B18DE" w:rsidRPr="00AA6DF3">
        <w:rPr>
          <w:sz w:val="22"/>
        </w:rPr>
        <w:t>jenny.kuchem@eastcentral.edu</w:t>
      </w:r>
    </w:p>
    <w:p w:rsidR="003B18DE" w:rsidRDefault="003B18DE" w:rsidP="003B18DE">
      <w:pPr>
        <w:shd w:val="clear" w:color="auto" w:fill="D9D9D9" w:themeFill="background1" w:themeFillShade="D9"/>
        <w:spacing w:after="0"/>
        <w:rPr>
          <w:sz w:val="22"/>
        </w:rPr>
      </w:pPr>
      <w:r>
        <w:rPr>
          <w:sz w:val="22"/>
        </w:rPr>
        <w:t>Lesley Peters</w:t>
      </w:r>
      <w:r>
        <w:rPr>
          <w:sz w:val="22"/>
        </w:rPr>
        <w:tab/>
      </w:r>
      <w:r>
        <w:rPr>
          <w:sz w:val="22"/>
        </w:rPr>
        <w:tab/>
        <w:t>Academic Advisor</w:t>
      </w:r>
      <w:r>
        <w:rPr>
          <w:sz w:val="22"/>
        </w:rPr>
        <w:tab/>
      </w:r>
      <w:r>
        <w:rPr>
          <w:sz w:val="22"/>
        </w:rPr>
        <w:tab/>
        <w:t>lesley.peters@eastcentral.edu</w:t>
      </w:r>
    </w:p>
    <w:p w:rsidR="009C0D9C" w:rsidRDefault="009C0D9C" w:rsidP="003B18D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0"/>
        <w:rPr>
          <w:sz w:val="22"/>
        </w:rPr>
      </w:pPr>
      <w:r>
        <w:rPr>
          <w:sz w:val="22"/>
        </w:rPr>
        <w:t>Amy Sisk</w:t>
      </w:r>
      <w:r>
        <w:rPr>
          <w:sz w:val="22"/>
        </w:rPr>
        <w:tab/>
      </w:r>
      <w:r>
        <w:rPr>
          <w:sz w:val="22"/>
        </w:rPr>
        <w:tab/>
        <w:t>Testing Assistant</w:t>
      </w:r>
      <w:r>
        <w:rPr>
          <w:sz w:val="22"/>
        </w:rPr>
        <w:tab/>
      </w:r>
      <w:r>
        <w:rPr>
          <w:sz w:val="22"/>
        </w:rPr>
        <w:tab/>
      </w:r>
      <w:r w:rsidR="00833DC0">
        <w:rPr>
          <w:sz w:val="22"/>
        </w:rPr>
        <w:t>amy.</w:t>
      </w:r>
      <w:r w:rsidRPr="00D55487">
        <w:rPr>
          <w:sz w:val="22"/>
        </w:rPr>
        <w:t>sisk@eastcentral.edu</w:t>
      </w:r>
      <w:r w:rsidR="003B18DE">
        <w:rPr>
          <w:sz w:val="22"/>
        </w:rPr>
        <w:tab/>
      </w:r>
    </w:p>
    <w:p w:rsidR="00DC63BF" w:rsidRPr="00DC63BF" w:rsidRDefault="009C0D9C" w:rsidP="003B18DE">
      <w:pPr>
        <w:shd w:val="clear" w:color="auto" w:fill="D9D9D9" w:themeFill="background1" w:themeFillShade="D9"/>
        <w:spacing w:after="0"/>
        <w:rPr>
          <w:sz w:val="22"/>
        </w:rPr>
      </w:pPr>
      <w:r>
        <w:rPr>
          <w:sz w:val="22"/>
        </w:rPr>
        <w:t>Denise Walker</w:t>
      </w:r>
      <w:r>
        <w:rPr>
          <w:sz w:val="22"/>
        </w:rPr>
        <w:tab/>
      </w:r>
      <w:r>
        <w:rPr>
          <w:sz w:val="22"/>
        </w:rPr>
        <w:tab/>
        <w:t>Adaptive Lab Specialist</w:t>
      </w:r>
      <w:r>
        <w:rPr>
          <w:sz w:val="22"/>
        </w:rPr>
        <w:tab/>
      </w:r>
      <w:r>
        <w:rPr>
          <w:sz w:val="22"/>
        </w:rPr>
        <w:tab/>
      </w:r>
      <w:r w:rsidR="00DC63BF" w:rsidRPr="00DC63BF">
        <w:rPr>
          <w:sz w:val="22"/>
        </w:rPr>
        <w:t>denise.walker@eastcentral.edu</w:t>
      </w:r>
      <w:r w:rsidR="00DC63BF">
        <w:rPr>
          <w:sz w:val="22"/>
        </w:rPr>
        <w:tab/>
      </w:r>
      <w:r w:rsidR="00DC63BF">
        <w:rPr>
          <w:sz w:val="22"/>
        </w:rPr>
        <w:tab/>
      </w:r>
      <w:r w:rsidR="00DC63BF">
        <w:rPr>
          <w:sz w:val="22"/>
        </w:rPr>
        <w:tab/>
      </w:r>
      <w:r w:rsidR="00DC63BF">
        <w:rPr>
          <w:sz w:val="22"/>
        </w:rPr>
        <w:tab/>
      </w:r>
      <w:r w:rsidR="00DC63BF">
        <w:rPr>
          <w:sz w:val="22"/>
        </w:rPr>
        <w:tab/>
      </w:r>
    </w:p>
    <w:p w:rsidR="00DC63BF" w:rsidRPr="00DC63BF" w:rsidRDefault="00DC63BF" w:rsidP="009C0D9C">
      <w:pPr>
        <w:spacing w:after="0"/>
        <w:rPr>
          <w:sz w:val="22"/>
        </w:rPr>
      </w:pPr>
      <w:r>
        <w:rPr>
          <w:sz w:val="22"/>
        </w:rPr>
        <w:t>Jessica Robart</w:t>
      </w:r>
      <w:r>
        <w:rPr>
          <w:sz w:val="22"/>
        </w:rPr>
        <w:tab/>
      </w:r>
      <w:r>
        <w:rPr>
          <w:sz w:val="22"/>
        </w:rPr>
        <w:tab/>
        <w:t>Learning Support Coordinator</w:t>
      </w:r>
      <w:r>
        <w:rPr>
          <w:sz w:val="22"/>
        </w:rPr>
        <w:tab/>
        <w:t>jessica.robart@eastcentral.edu</w:t>
      </w:r>
    </w:p>
    <w:p w:rsidR="00DC63BF" w:rsidRDefault="00DC63BF" w:rsidP="009C0D9C">
      <w:pPr>
        <w:spacing w:after="0"/>
        <w:rPr>
          <w:color w:val="002E6D"/>
          <w:sz w:val="20"/>
          <w:szCs w:val="20"/>
        </w:rPr>
      </w:pPr>
    </w:p>
    <w:p w:rsidR="009C0D9C" w:rsidRDefault="009C0D9C" w:rsidP="009C0D9C">
      <w:pPr>
        <w:spacing w:after="0"/>
        <w:rPr>
          <w:sz w:val="20"/>
          <w:szCs w:val="20"/>
        </w:rPr>
      </w:pPr>
      <w:r w:rsidRPr="00C1433B">
        <w:rPr>
          <w:color w:val="002E6D"/>
          <w:sz w:val="20"/>
          <w:szCs w:val="20"/>
        </w:rPr>
        <w:t>Documentation should be forwarded to:</w:t>
      </w:r>
      <w:r>
        <w:rPr>
          <w:sz w:val="20"/>
          <w:szCs w:val="20"/>
        </w:rPr>
        <w:tab/>
      </w:r>
      <w:r>
        <w:rPr>
          <w:sz w:val="20"/>
          <w:szCs w:val="20"/>
        </w:rPr>
        <w:tab/>
      </w:r>
      <w:r>
        <w:rPr>
          <w:sz w:val="20"/>
          <w:szCs w:val="20"/>
        </w:rPr>
        <w:tab/>
      </w:r>
      <w:r w:rsidRPr="00C1433B">
        <w:rPr>
          <w:color w:val="002E6D"/>
          <w:sz w:val="20"/>
          <w:szCs w:val="20"/>
        </w:rPr>
        <w:t>Phone and Fax contacts:</w:t>
      </w:r>
    </w:p>
    <w:p w:rsidR="009C0D9C" w:rsidRDefault="009C0D9C" w:rsidP="009C0D9C">
      <w:pPr>
        <w:spacing w:after="0"/>
        <w:rPr>
          <w:sz w:val="20"/>
          <w:szCs w:val="20"/>
        </w:rPr>
      </w:pPr>
      <w:r>
        <w:rPr>
          <w:sz w:val="20"/>
          <w:szCs w:val="20"/>
        </w:rPr>
        <w:t>Access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t>Phone: 636-584-6588</w:t>
      </w:r>
    </w:p>
    <w:p w:rsidR="00D55408" w:rsidRDefault="009C0D9C" w:rsidP="009C0D9C">
      <w:pPr>
        <w:spacing w:after="0"/>
        <w:rPr>
          <w:sz w:val="20"/>
          <w:szCs w:val="20"/>
        </w:rPr>
      </w:pPr>
      <w:r>
        <w:rPr>
          <w:sz w:val="20"/>
          <w:szCs w:val="20"/>
        </w:rPr>
        <w:t>East Central College</w:t>
      </w:r>
      <w:r>
        <w:rPr>
          <w:sz w:val="20"/>
          <w:szCs w:val="20"/>
        </w:rPr>
        <w:tab/>
      </w:r>
      <w:r>
        <w:rPr>
          <w:sz w:val="20"/>
          <w:szCs w:val="20"/>
        </w:rPr>
        <w:tab/>
      </w:r>
      <w:r>
        <w:rPr>
          <w:sz w:val="20"/>
          <w:szCs w:val="20"/>
        </w:rPr>
        <w:tab/>
      </w:r>
      <w:r>
        <w:rPr>
          <w:sz w:val="20"/>
          <w:szCs w:val="20"/>
        </w:rPr>
        <w:tab/>
      </w:r>
      <w:r>
        <w:rPr>
          <w:sz w:val="20"/>
          <w:szCs w:val="20"/>
        </w:rPr>
        <w:tab/>
      </w:r>
      <w:r w:rsidR="00D55408">
        <w:rPr>
          <w:sz w:val="20"/>
          <w:szCs w:val="20"/>
        </w:rPr>
        <w:t>Fax:  636-583-1011</w:t>
      </w:r>
      <w:r w:rsidR="00D55408">
        <w:rPr>
          <w:sz w:val="20"/>
          <w:szCs w:val="20"/>
        </w:rPr>
        <w:tab/>
      </w:r>
    </w:p>
    <w:p w:rsidR="00D55408" w:rsidRPr="009C0D9C" w:rsidRDefault="009C0D9C" w:rsidP="00D55408">
      <w:pPr>
        <w:spacing w:after="0"/>
        <w:rPr>
          <w:sz w:val="20"/>
          <w:szCs w:val="20"/>
        </w:rPr>
      </w:pPr>
      <w:r>
        <w:rPr>
          <w:sz w:val="20"/>
          <w:szCs w:val="20"/>
        </w:rPr>
        <w:t>1964 Prairie Dell Road</w:t>
      </w:r>
      <w:r>
        <w:rPr>
          <w:sz w:val="20"/>
          <w:szCs w:val="20"/>
        </w:rPr>
        <w:tab/>
      </w:r>
      <w:r>
        <w:rPr>
          <w:sz w:val="20"/>
          <w:szCs w:val="20"/>
        </w:rPr>
        <w:tab/>
      </w:r>
      <w:r>
        <w:rPr>
          <w:sz w:val="20"/>
          <w:szCs w:val="20"/>
        </w:rPr>
        <w:tab/>
      </w:r>
      <w:r>
        <w:rPr>
          <w:sz w:val="20"/>
          <w:szCs w:val="20"/>
        </w:rPr>
        <w:tab/>
      </w:r>
      <w:r>
        <w:rPr>
          <w:sz w:val="20"/>
          <w:szCs w:val="20"/>
        </w:rPr>
        <w:tab/>
      </w:r>
      <w:r w:rsidR="00D55408">
        <w:rPr>
          <w:sz w:val="20"/>
          <w:szCs w:val="20"/>
        </w:rPr>
        <w:t>Rolla: 636-</w:t>
      </w:r>
      <w:r w:rsidR="00A865B8">
        <w:rPr>
          <w:sz w:val="20"/>
          <w:szCs w:val="20"/>
        </w:rPr>
        <w:t>466</w:t>
      </w:r>
      <w:r w:rsidR="00D55408">
        <w:rPr>
          <w:sz w:val="20"/>
          <w:szCs w:val="20"/>
        </w:rPr>
        <w:t>-</w:t>
      </w:r>
      <w:r w:rsidR="00A865B8">
        <w:rPr>
          <w:sz w:val="20"/>
          <w:szCs w:val="20"/>
        </w:rPr>
        <w:t>4100</w:t>
      </w:r>
    </w:p>
    <w:p w:rsidR="009C0D9C" w:rsidRPr="009C0D9C" w:rsidRDefault="009C0D9C" w:rsidP="009C0D9C">
      <w:pPr>
        <w:spacing w:after="0"/>
        <w:rPr>
          <w:sz w:val="20"/>
          <w:szCs w:val="20"/>
        </w:rPr>
      </w:pPr>
      <w:r>
        <w:rPr>
          <w:sz w:val="20"/>
          <w:szCs w:val="20"/>
        </w:rPr>
        <w:t>Union, MO 63084</w:t>
      </w:r>
      <w:r>
        <w:rPr>
          <w:sz w:val="20"/>
          <w:szCs w:val="20"/>
        </w:rPr>
        <w:tab/>
      </w:r>
      <w:r>
        <w:rPr>
          <w:sz w:val="20"/>
          <w:szCs w:val="20"/>
        </w:rPr>
        <w:tab/>
      </w:r>
      <w:r>
        <w:rPr>
          <w:sz w:val="20"/>
          <w:szCs w:val="20"/>
        </w:rPr>
        <w:tab/>
      </w:r>
      <w:r>
        <w:rPr>
          <w:sz w:val="20"/>
          <w:szCs w:val="20"/>
        </w:rPr>
        <w:tab/>
      </w:r>
      <w:r>
        <w:rPr>
          <w:sz w:val="20"/>
          <w:szCs w:val="20"/>
        </w:rPr>
        <w:tab/>
      </w:r>
      <w:r w:rsidR="005B2BA0">
        <w:rPr>
          <w:sz w:val="20"/>
          <w:szCs w:val="20"/>
        </w:rPr>
        <w:t>TTY: 636-583-4851</w:t>
      </w:r>
    </w:p>
    <w:sectPr w:rsidR="009C0D9C" w:rsidRPr="009C0D9C" w:rsidSect="005B2BA0">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5C" w:rsidRDefault="0083545C" w:rsidP="0034565B">
      <w:pPr>
        <w:spacing w:after="0" w:line="240" w:lineRule="auto"/>
      </w:pPr>
      <w:r>
        <w:separator/>
      </w:r>
    </w:p>
  </w:endnote>
  <w:endnote w:type="continuationSeparator" w:id="0">
    <w:p w:rsidR="0083545C" w:rsidRDefault="0083545C" w:rsidP="0034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65B" w:rsidRPr="0034565B" w:rsidRDefault="0034565B">
    <w:pPr>
      <w:pStyle w:val="Footer"/>
      <w:rPr>
        <w:sz w:val="18"/>
        <w:szCs w:val="18"/>
      </w:rPr>
    </w:pPr>
    <w:r>
      <w:tab/>
    </w:r>
    <w:r>
      <w:tab/>
    </w:r>
    <w:r w:rsidRPr="0034565B">
      <w:rPr>
        <w:sz w:val="18"/>
        <w:szCs w:val="18"/>
      </w:rPr>
      <w:t xml:space="preserve">Updated </w:t>
    </w:r>
    <w:r w:rsidR="005B2BA0">
      <w:rPr>
        <w:sz w:val="18"/>
        <w:szCs w:val="18"/>
      </w:rPr>
      <w:t>8</w:t>
    </w:r>
    <w:r w:rsidR="00941265">
      <w:rPr>
        <w:sz w:val="18"/>
        <w:szCs w:val="18"/>
      </w:rPr>
      <w:t>/2</w:t>
    </w:r>
    <w:r w:rsidR="005B2BA0">
      <w:rPr>
        <w:sz w:val="18"/>
        <w:szCs w:val="18"/>
      </w:rPr>
      <w:t>5</w:t>
    </w:r>
    <w:r w:rsidR="00941265">
      <w:rPr>
        <w:sz w:val="18"/>
        <w:szCs w:val="18"/>
      </w:rPr>
      <w:t>/1</w:t>
    </w:r>
    <w:r w:rsidR="005B2BA0">
      <w:rPr>
        <w:sz w:val="18"/>
        <w:szCs w:val="18"/>
      </w:rPr>
      <w:t>7</w:t>
    </w:r>
    <w:r w:rsidRPr="0034565B">
      <w:rPr>
        <w:sz w:val="18"/>
        <w:szCs w:val="18"/>
      </w:rPr>
      <w:t xml:space="preserve"> </w:t>
    </w:r>
    <w:proofErr w:type="spellStart"/>
    <w:r w:rsidRPr="0034565B">
      <w:rPr>
        <w:sz w:val="18"/>
        <w:szCs w:val="18"/>
      </w:rPr>
      <w:t>ans</w:t>
    </w:r>
    <w:proofErr w:type="spellEnd"/>
  </w:p>
  <w:p w:rsidR="0034565B" w:rsidRDefault="0034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5C" w:rsidRDefault="0083545C" w:rsidP="0034565B">
      <w:pPr>
        <w:spacing w:after="0" w:line="240" w:lineRule="auto"/>
      </w:pPr>
      <w:r>
        <w:separator/>
      </w:r>
    </w:p>
  </w:footnote>
  <w:footnote w:type="continuationSeparator" w:id="0">
    <w:p w:rsidR="0083545C" w:rsidRDefault="0083545C" w:rsidP="00345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CEB"/>
    <w:multiLevelType w:val="hybridMultilevel"/>
    <w:tmpl w:val="2132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74A68"/>
    <w:multiLevelType w:val="hybridMultilevel"/>
    <w:tmpl w:val="525E4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3550E"/>
    <w:multiLevelType w:val="hybridMultilevel"/>
    <w:tmpl w:val="6B32B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048A9"/>
    <w:multiLevelType w:val="hybridMultilevel"/>
    <w:tmpl w:val="6C86D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368B9"/>
    <w:multiLevelType w:val="hybridMultilevel"/>
    <w:tmpl w:val="B7584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0E"/>
    <w:rsid w:val="000B0606"/>
    <w:rsid w:val="001A4447"/>
    <w:rsid w:val="00200BD4"/>
    <w:rsid w:val="0030750F"/>
    <w:rsid w:val="0034565B"/>
    <w:rsid w:val="003B18DE"/>
    <w:rsid w:val="00464E96"/>
    <w:rsid w:val="004D6569"/>
    <w:rsid w:val="005319C9"/>
    <w:rsid w:val="005B2BA0"/>
    <w:rsid w:val="00623368"/>
    <w:rsid w:val="00833DC0"/>
    <w:rsid w:val="0083545C"/>
    <w:rsid w:val="008603D4"/>
    <w:rsid w:val="008A762C"/>
    <w:rsid w:val="00941265"/>
    <w:rsid w:val="00962844"/>
    <w:rsid w:val="009C0D9C"/>
    <w:rsid w:val="009F4846"/>
    <w:rsid w:val="00A865B8"/>
    <w:rsid w:val="00AA6DF3"/>
    <w:rsid w:val="00B158D1"/>
    <w:rsid w:val="00C1433B"/>
    <w:rsid w:val="00C74D5C"/>
    <w:rsid w:val="00C93A0C"/>
    <w:rsid w:val="00CE0A92"/>
    <w:rsid w:val="00D3464C"/>
    <w:rsid w:val="00D55408"/>
    <w:rsid w:val="00D55487"/>
    <w:rsid w:val="00DC63BF"/>
    <w:rsid w:val="00E84801"/>
    <w:rsid w:val="00E96B84"/>
    <w:rsid w:val="00ED2D70"/>
    <w:rsid w:val="00EF5184"/>
    <w:rsid w:val="00F32BF1"/>
    <w:rsid w:val="00F5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5125F"/>
  <w15:docId w15:val="{905DC9F9-76C0-46F8-A0AC-A61A617F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487"/>
    <w:rPr>
      <w:color w:val="0000FF" w:themeColor="hyperlink"/>
      <w:u w:val="single"/>
    </w:rPr>
  </w:style>
  <w:style w:type="paragraph" w:styleId="ListParagraph">
    <w:name w:val="List Paragraph"/>
    <w:basedOn w:val="Normal"/>
    <w:uiPriority w:val="34"/>
    <w:qFormat/>
    <w:rsid w:val="00D55487"/>
    <w:pPr>
      <w:ind w:left="720"/>
      <w:contextualSpacing/>
    </w:pPr>
  </w:style>
  <w:style w:type="table" w:styleId="TableGrid">
    <w:name w:val="Table Grid"/>
    <w:basedOn w:val="TableNormal"/>
    <w:uiPriority w:val="59"/>
    <w:rsid w:val="00F3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65B"/>
  </w:style>
  <w:style w:type="paragraph" w:styleId="Footer">
    <w:name w:val="footer"/>
    <w:basedOn w:val="Normal"/>
    <w:link w:val="FooterChar"/>
    <w:uiPriority w:val="99"/>
    <w:unhideWhenUsed/>
    <w:rsid w:val="0034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65B"/>
  </w:style>
  <w:style w:type="paragraph" w:styleId="BalloonText">
    <w:name w:val="Balloon Text"/>
    <w:basedOn w:val="Normal"/>
    <w:link w:val="BalloonTextChar"/>
    <w:uiPriority w:val="99"/>
    <w:semiHidden/>
    <w:unhideWhenUsed/>
    <w:rsid w:val="00345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8DDE9-CE3E-4CDF-A25F-B0B83C6A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ansisk</dc:creator>
  <cp:lastModifiedBy>Amy Sisk</cp:lastModifiedBy>
  <cp:revision>2</cp:revision>
  <cp:lastPrinted>2014-03-24T14:59:00Z</cp:lastPrinted>
  <dcterms:created xsi:type="dcterms:W3CDTF">2017-08-25T14:42:00Z</dcterms:created>
  <dcterms:modified xsi:type="dcterms:W3CDTF">2017-08-25T14:42:00Z</dcterms:modified>
</cp:coreProperties>
</file>