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EE" w:rsidRPr="00F46FEE" w:rsidRDefault="00F46FEE" w:rsidP="00F46FEE">
      <w:pPr>
        <w:spacing w:after="0" w:line="240" w:lineRule="auto"/>
        <w:contextualSpacing/>
        <w:jc w:val="center"/>
        <w:rPr>
          <w:rFonts w:ascii="Times New Roman" w:eastAsia="Times New Roman" w:hAnsi="Times New Roman" w:cs="Times New Roman"/>
          <w:spacing w:val="5"/>
          <w:kern w:val="28"/>
          <w:sz w:val="24"/>
          <w:szCs w:val="24"/>
        </w:rPr>
      </w:pPr>
      <w:r w:rsidRPr="00F46FEE">
        <w:rPr>
          <w:rFonts w:ascii="Times New Roman" w:eastAsia="Times New Roman" w:hAnsi="Times New Roman" w:cs="Times New Roman"/>
          <w:b/>
          <w:spacing w:val="5"/>
          <w:kern w:val="28"/>
          <w:sz w:val="40"/>
          <w:szCs w:val="40"/>
        </w:rPr>
        <w:t>Physics Department Assessment Report SP13</w:t>
      </w:r>
    </w:p>
    <w:p w:rsidR="00F46FEE" w:rsidRPr="00F46FEE" w:rsidRDefault="00F46FEE" w:rsidP="00F46FEE">
      <w:pPr>
        <w:spacing w:after="0"/>
        <w:jc w:val="right"/>
        <w:rPr>
          <w:rFonts w:ascii="Calibri" w:eastAsia="Calibri" w:hAnsi="Calibri" w:cs="Times New Roman"/>
        </w:rPr>
      </w:pPr>
      <w:r w:rsidRPr="00F46FEE">
        <w:rPr>
          <w:rFonts w:ascii="Calibri" w:eastAsia="Calibri" w:hAnsi="Calibri" w:cs="Times New Roman"/>
        </w:rPr>
        <w:t>Submitted by:  Dr. Barry Bookout, Dr. Isaiah Kellogg, Linda Arrington</w:t>
      </w:r>
    </w:p>
    <w:p w:rsidR="00F46FEE" w:rsidRPr="00F46FEE" w:rsidRDefault="00F46FEE" w:rsidP="00F46FEE">
      <w:pPr>
        <w:spacing w:after="0"/>
        <w:jc w:val="right"/>
        <w:rPr>
          <w:rFonts w:ascii="Calibri" w:eastAsia="Calibri" w:hAnsi="Calibri" w:cs="Times New Roman"/>
        </w:rPr>
      </w:pPr>
    </w:p>
    <w:p w:rsidR="00D6343C" w:rsidRPr="00846FE1" w:rsidRDefault="00D6343C" w:rsidP="00D6343C">
      <w:pPr>
        <w:rPr>
          <w:rFonts w:ascii="Times New Roman" w:hAnsi="Times New Roman" w:cs="Times New Roman"/>
        </w:rPr>
      </w:pPr>
      <w:r w:rsidRPr="00D73540">
        <w:rPr>
          <w:rFonts w:ascii="Times New Roman" w:hAnsi="Times New Roman" w:cs="Times New Roman"/>
          <w:b/>
          <w:sz w:val="36"/>
          <w:szCs w:val="36"/>
        </w:rPr>
        <w:t>College Physics I</w:t>
      </w:r>
      <w:r w:rsidR="00B37869" w:rsidRPr="00D73540">
        <w:rPr>
          <w:rFonts w:ascii="Times New Roman" w:hAnsi="Times New Roman" w:cs="Times New Roman"/>
          <w:b/>
          <w:sz w:val="36"/>
          <w:szCs w:val="36"/>
        </w:rPr>
        <w:t xml:space="preserve"> and II</w:t>
      </w:r>
      <w:r w:rsidRPr="00846FE1">
        <w:rPr>
          <w:rFonts w:ascii="Times New Roman" w:hAnsi="Times New Roman" w:cs="Times New Roman"/>
        </w:rPr>
        <w:t>, PH1703</w:t>
      </w:r>
      <w:r w:rsidR="00B37869" w:rsidRPr="00846FE1">
        <w:rPr>
          <w:rFonts w:ascii="Times New Roman" w:hAnsi="Times New Roman" w:cs="Times New Roman"/>
        </w:rPr>
        <w:t xml:space="preserve"> and PH1803</w:t>
      </w:r>
      <w:r w:rsidRPr="00846FE1">
        <w:rPr>
          <w:rFonts w:ascii="Times New Roman" w:hAnsi="Times New Roman" w:cs="Times New Roman"/>
        </w:rPr>
        <w:t xml:space="preserve">, and </w:t>
      </w:r>
      <w:r w:rsidR="00B37869" w:rsidRPr="00846FE1">
        <w:rPr>
          <w:rFonts w:ascii="Times New Roman" w:hAnsi="Times New Roman" w:cs="Times New Roman"/>
        </w:rPr>
        <w:t>their</w:t>
      </w:r>
      <w:r w:rsidRPr="00846FE1">
        <w:rPr>
          <w:rFonts w:ascii="Times New Roman" w:hAnsi="Times New Roman" w:cs="Times New Roman"/>
        </w:rPr>
        <w:t xml:space="preserve"> associated laboratory course</w:t>
      </w:r>
      <w:r w:rsidR="00B37869" w:rsidRPr="00846FE1">
        <w:rPr>
          <w:rFonts w:ascii="Times New Roman" w:hAnsi="Times New Roman" w:cs="Times New Roman"/>
        </w:rPr>
        <w:t>s</w:t>
      </w:r>
      <w:r w:rsidRPr="00846FE1">
        <w:rPr>
          <w:rFonts w:ascii="Times New Roman" w:hAnsi="Times New Roman" w:cs="Times New Roman"/>
        </w:rPr>
        <w:t xml:space="preserve"> PH1712</w:t>
      </w:r>
      <w:r w:rsidR="00B37869" w:rsidRPr="00846FE1">
        <w:rPr>
          <w:rFonts w:ascii="Times New Roman" w:hAnsi="Times New Roman" w:cs="Times New Roman"/>
        </w:rPr>
        <w:t xml:space="preserve"> and PH1812, are studies</w:t>
      </w:r>
      <w:r w:rsidRPr="00846FE1">
        <w:rPr>
          <w:rFonts w:ascii="Times New Roman" w:hAnsi="Times New Roman" w:cs="Times New Roman"/>
        </w:rPr>
        <w:t xml:space="preserve"> of Newtonian mechanics, properties of matter, thermodynamics</w:t>
      </w:r>
      <w:r w:rsidR="00B37869" w:rsidRPr="00846FE1">
        <w:rPr>
          <w:rFonts w:ascii="Times New Roman" w:hAnsi="Times New Roman" w:cs="Times New Roman"/>
        </w:rPr>
        <w:t>, and electricity, magnetism, light, atomic physics, nuclear physics, and quantum physics.</w:t>
      </w:r>
      <w:r w:rsidRPr="00846FE1">
        <w:rPr>
          <w:rFonts w:ascii="Times New Roman" w:hAnsi="Times New Roman" w:cs="Times New Roman"/>
        </w:rPr>
        <w:t xml:space="preserve"> College Physics is geared toward students in the </w:t>
      </w:r>
      <w:r w:rsidR="007B24FF" w:rsidRPr="00846FE1">
        <w:rPr>
          <w:rFonts w:ascii="Times New Roman" w:hAnsi="Times New Roman" w:cs="Times New Roman"/>
        </w:rPr>
        <w:t xml:space="preserve">engineering technology, </w:t>
      </w:r>
      <w:r w:rsidRPr="00846FE1">
        <w:rPr>
          <w:rFonts w:ascii="Times New Roman" w:hAnsi="Times New Roman" w:cs="Times New Roman"/>
        </w:rPr>
        <w:t xml:space="preserve">medical and technical fields, and is not recommended for math, physical science, or engineering students. The </w:t>
      </w:r>
      <w:r w:rsidR="009D4B65" w:rsidRPr="00846FE1">
        <w:rPr>
          <w:rFonts w:ascii="Times New Roman" w:hAnsi="Times New Roman" w:cs="Times New Roman"/>
        </w:rPr>
        <w:t>prerequisite</w:t>
      </w:r>
      <w:r w:rsidRPr="00846FE1">
        <w:rPr>
          <w:rFonts w:ascii="Times New Roman" w:hAnsi="Times New Roman" w:cs="Times New Roman"/>
        </w:rPr>
        <w:t xml:space="preserve"> for College Physics </w:t>
      </w:r>
      <w:r w:rsidR="009D4B65" w:rsidRPr="00846FE1">
        <w:rPr>
          <w:rFonts w:ascii="Times New Roman" w:hAnsi="Times New Roman" w:cs="Times New Roman"/>
        </w:rPr>
        <w:t xml:space="preserve">I </w:t>
      </w:r>
      <w:r w:rsidRPr="00846FE1">
        <w:rPr>
          <w:rFonts w:ascii="Times New Roman" w:hAnsi="Times New Roman" w:cs="Times New Roman"/>
        </w:rPr>
        <w:t>is a m</w:t>
      </w:r>
      <w:r w:rsidR="009D4B65" w:rsidRPr="00846FE1">
        <w:rPr>
          <w:rFonts w:ascii="Times New Roman" w:hAnsi="Times New Roman" w:cs="Times New Roman"/>
        </w:rPr>
        <w:t>inimum grade of "C" in MT</w:t>
      </w:r>
      <w:r w:rsidRPr="00846FE1">
        <w:rPr>
          <w:rFonts w:ascii="Times New Roman" w:hAnsi="Times New Roman" w:cs="Times New Roman"/>
        </w:rPr>
        <w:t>1505 (Pre-Calculus). Students must co-enroll in both lecture and laboratory courses.</w:t>
      </w:r>
      <w:r w:rsidR="00D72825" w:rsidRPr="00846FE1">
        <w:rPr>
          <w:rFonts w:ascii="Times New Roman" w:hAnsi="Times New Roman" w:cs="Times New Roman"/>
        </w:rPr>
        <w:t xml:space="preserve"> </w:t>
      </w:r>
    </w:p>
    <w:p w:rsidR="000B09C0" w:rsidRDefault="00F46FEE" w:rsidP="00A073CC">
      <w:pPr>
        <w:rPr>
          <w:rFonts w:ascii="Times New Roman" w:hAnsi="Times New Roman" w:cs="Times New Roman"/>
          <w:noProof/>
        </w:rPr>
      </w:pPr>
      <w:r w:rsidRPr="00DD466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FB9077F" wp14:editId="286189A3">
                <wp:simplePos x="0" y="0"/>
                <wp:positionH relativeFrom="column">
                  <wp:posOffset>-929358</wp:posOffset>
                </wp:positionH>
                <wp:positionV relativeFrom="paragraph">
                  <wp:posOffset>1236698</wp:posOffset>
                </wp:positionV>
                <wp:extent cx="746125" cy="474133"/>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474133"/>
                        </a:xfrm>
                        <a:prstGeom prst="rect">
                          <a:avLst/>
                        </a:prstGeom>
                        <a:solidFill>
                          <a:srgbClr val="FFFFFF"/>
                        </a:solidFill>
                        <a:ln w="9525">
                          <a:noFill/>
                          <a:miter lim="800000"/>
                          <a:headEnd/>
                          <a:tailEnd/>
                        </a:ln>
                      </wps:spPr>
                      <wps:txbx>
                        <w:txbxContent>
                          <w:p w:rsidR="00DD4664" w:rsidRPr="00DD4664" w:rsidRDefault="00DD4664">
                            <w:pPr>
                              <w:rPr>
                                <w:sz w:val="18"/>
                                <w:szCs w:val="18"/>
                              </w:rPr>
                            </w:pPr>
                            <w:r w:rsidRPr="00DD4664">
                              <w:rPr>
                                <w:sz w:val="18"/>
                                <w:szCs w:val="18"/>
                              </w:rPr>
                              <w:t>Sample size</w:t>
                            </w:r>
                            <w:proofErr w:type="gramStart"/>
                            <w:r>
                              <w:rPr>
                                <w:sz w:val="18"/>
                                <w:szCs w:val="18"/>
                              </w:rPr>
                              <w:t>-</w:t>
                            </w:r>
                            <w:r w:rsidRPr="00DD4664">
                              <w:rPr>
                                <w:sz w:val="18"/>
                                <w:szCs w:val="18"/>
                              </w:rPr>
                              <w:t xml:space="preserve">  26</w:t>
                            </w:r>
                            <w:proofErr w:type="gramEnd"/>
                            <w:r w:rsidRPr="00DD4664">
                              <w:rPr>
                                <w:sz w:val="18"/>
                                <w:szCs w:val="18"/>
                              </w:rPr>
                              <w:t xml:space="preserve"> </w:t>
                            </w:r>
                            <w:r>
                              <w:rPr>
                                <w:sz w:val="18"/>
                                <w:szCs w:val="18"/>
                              </w:rPr>
                              <w:t>s</w:t>
                            </w:r>
                            <w:r w:rsidRPr="00DD4664">
                              <w:rPr>
                                <w:sz w:val="18"/>
                                <w:szCs w:val="18"/>
                              </w:rPr>
                              <w:t>tudents</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pt;margin-top:97.4pt;width:58.7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StIQIAABgEAAAOAAAAZHJzL2Uyb0RvYy54bWysU21v2yAQ/j5p/wHxfbGTOE1rxam6dJkm&#10;dS9Sux+AMY7RgGNAYme/vgdO02z7No0P6A7uHp577ljdDlqRg3BegqnodJJTIgyHRppdRb8/bd9d&#10;U+IDMw1TYERFj8LT2/XbN6velmIGHahGOIIgxpe9rWgXgi2zzPNOaOYnYIXByxacZgFdt8sax3pE&#10;1yqb5flV1oNrrAMuvMfT+/GSrhN+2woevratF4GoiiK3kHaX9jru2XrFyp1jtpP8RIP9AwvNpMFH&#10;z1D3LDCyd/IvKC25Aw9tmHDQGbSt5CLVgNVM8z+qeeyYFakWFMfbs0z+/8HyL4dvjsimovN8SYlh&#10;Gpv0JIZA3sNAZlGf3voSwx4tBoYBj7HPqVZvH4D/8MTApmNmJ+6cg74TrEF+05iZXaSOOD6C1P1n&#10;aPAZtg+QgIbW6SgeykEQHft0PPcmUuF4uCyuprMFJRyvimUxnc/TC6x8SbbOh48CNIlGRR22PoGz&#10;w4MPkQwrX0LiWx6UbLZSqeS4Xb1RjhwYjsk2rRP6b2HKkL6iNwvkEbMMxPw0QVoGHGMldUWv87hi&#10;OiujGB9Mk+zApBptZKLMSZ0oyChNGOoBA6NkNTRH1MnBOK74vdDowP2ipMdRraj/uWdOUKI+GdT6&#10;ZloUcbaTUyyWM3RcctCoL0+Z4QhT0UDJaG5C+gtjNXfYj1YmrV5ZnHji+CUJT18lzveln6JeP/T6&#10;GQAA//8DAFBLAwQUAAYACAAAACEAN79sv+IAAAAMAQAADwAAAGRycy9kb3ducmV2LnhtbEyPMU/D&#10;MBSEdyT+g/WQWFDqNAqhCXGqFsHSDoiCxOrGJgnYz1Hstu6/72OC8XSnu+/qZbSGHfXkB4cC5rMU&#10;mMbWqQE7AR/vL8kCmA8SlTQOtYCz9rBsrq9qWSl3wjd93IWOUQn6SgroQxgrzn3bayv9zI0ayfty&#10;k5WB5NRxNckTlVvDszQtuJUD0kIvR/3U6/Znd7C0+/yqHlbrEDfbTbv+vNu6aL5zIW5v4uoRWNAx&#10;/IXhF5/QoSGmvTug8swISOZ5kVOWnDKnExRJskUJbC8gK8p74E3N/59oLgAAAP//AwBQSwECLQAU&#10;AAYACAAAACEAtoM4kv4AAADhAQAAEwAAAAAAAAAAAAAAAAAAAAAAW0NvbnRlbnRfVHlwZXNdLnht&#10;bFBLAQItABQABgAIAAAAIQA4/SH/1gAAAJQBAAALAAAAAAAAAAAAAAAAAC8BAABfcmVscy8ucmVs&#10;c1BLAQItABQABgAIAAAAIQArIsStIQIAABgEAAAOAAAAAAAAAAAAAAAAAC4CAABkcnMvZTJvRG9j&#10;LnhtbFBLAQItABQABgAIAAAAIQA3v2y/4gAAAAwBAAAPAAAAAAAAAAAAAAAAAHsEAABkcnMvZG93&#10;bnJldi54bWxQSwUGAAAAAAQABADzAAAAigUAAAAA&#10;" stroked="f">
                <v:textbox inset=",,0">
                  <w:txbxContent>
                    <w:p w:rsidR="00DD4664" w:rsidRPr="00DD4664" w:rsidRDefault="00DD4664">
                      <w:pPr>
                        <w:rPr>
                          <w:sz w:val="18"/>
                          <w:szCs w:val="18"/>
                        </w:rPr>
                      </w:pPr>
                      <w:r w:rsidRPr="00DD4664">
                        <w:rPr>
                          <w:sz w:val="18"/>
                          <w:szCs w:val="18"/>
                        </w:rPr>
                        <w:t>Sample size</w:t>
                      </w:r>
                      <w:proofErr w:type="gramStart"/>
                      <w:r>
                        <w:rPr>
                          <w:sz w:val="18"/>
                          <w:szCs w:val="18"/>
                        </w:rPr>
                        <w:t>-</w:t>
                      </w:r>
                      <w:r w:rsidRPr="00DD4664">
                        <w:rPr>
                          <w:sz w:val="18"/>
                          <w:szCs w:val="18"/>
                        </w:rPr>
                        <w:t xml:space="preserve">  26</w:t>
                      </w:r>
                      <w:proofErr w:type="gramEnd"/>
                      <w:r w:rsidRPr="00DD4664">
                        <w:rPr>
                          <w:sz w:val="18"/>
                          <w:szCs w:val="18"/>
                        </w:rPr>
                        <w:t xml:space="preserve"> </w:t>
                      </w:r>
                      <w:r>
                        <w:rPr>
                          <w:sz w:val="18"/>
                          <w:szCs w:val="18"/>
                        </w:rPr>
                        <w:t>s</w:t>
                      </w:r>
                      <w:r w:rsidRPr="00DD4664">
                        <w:rPr>
                          <w:sz w:val="18"/>
                          <w:szCs w:val="18"/>
                        </w:rPr>
                        <w:t>tudents</w:t>
                      </w:r>
                    </w:p>
                  </w:txbxContent>
                </v:textbox>
              </v:shape>
            </w:pict>
          </mc:Fallback>
        </mc:AlternateContent>
      </w:r>
      <w:r w:rsidR="00D7462D" w:rsidRPr="00846FE1">
        <w:rPr>
          <w:rFonts w:ascii="Times New Roman" w:hAnsi="Times New Roman" w:cs="Times New Roman"/>
          <w:noProof/>
        </w:rPr>
        <w:drawing>
          <wp:anchor distT="0" distB="0" distL="114300" distR="114300" simplePos="0" relativeHeight="251668480" behindDoc="0" locked="0" layoutInCell="1" allowOverlap="1" wp14:anchorId="7EF599B2" wp14:editId="2F162B2A">
            <wp:simplePos x="0" y="0"/>
            <wp:positionH relativeFrom="column">
              <wp:posOffset>5052695</wp:posOffset>
            </wp:positionH>
            <wp:positionV relativeFrom="paragraph">
              <wp:posOffset>959485</wp:posOffset>
            </wp:positionV>
            <wp:extent cx="1536700" cy="1236980"/>
            <wp:effectExtent l="0" t="0" r="25400" b="2032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D7462D" w:rsidRPr="00846FE1">
        <w:rPr>
          <w:rFonts w:ascii="Times New Roman" w:hAnsi="Times New Roman" w:cs="Times New Roman"/>
          <w:noProof/>
        </w:rPr>
        <w:drawing>
          <wp:anchor distT="0" distB="0" distL="114300" distR="114300" simplePos="0" relativeHeight="251669504" behindDoc="0" locked="0" layoutInCell="1" allowOverlap="1" wp14:anchorId="0082BA83" wp14:editId="3239D54F">
            <wp:simplePos x="0" y="0"/>
            <wp:positionH relativeFrom="column">
              <wp:posOffset>3204845</wp:posOffset>
            </wp:positionH>
            <wp:positionV relativeFrom="paragraph">
              <wp:posOffset>957580</wp:posOffset>
            </wp:positionV>
            <wp:extent cx="1520825" cy="1259840"/>
            <wp:effectExtent l="0" t="0" r="22225" b="1651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D4664" w:rsidRPr="00846FE1">
        <w:rPr>
          <w:rFonts w:ascii="Times New Roman" w:hAnsi="Times New Roman" w:cs="Times New Roman"/>
          <w:noProof/>
        </w:rPr>
        <w:drawing>
          <wp:anchor distT="0" distB="0" distL="114300" distR="114300" simplePos="0" relativeHeight="251664384" behindDoc="0" locked="0" layoutInCell="1" allowOverlap="1" wp14:anchorId="3B1B3378" wp14:editId="1D92680D">
            <wp:simplePos x="0" y="0"/>
            <wp:positionH relativeFrom="column">
              <wp:posOffset>-71120</wp:posOffset>
            </wp:positionH>
            <wp:positionV relativeFrom="paragraph">
              <wp:posOffset>52705</wp:posOffset>
            </wp:positionV>
            <wp:extent cx="3103880" cy="1743710"/>
            <wp:effectExtent l="0" t="0" r="20320" b="279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A073CC" w:rsidRPr="00846FE1">
        <w:rPr>
          <w:rFonts w:ascii="Times New Roman" w:hAnsi="Times New Roman" w:cs="Times New Roman"/>
        </w:rPr>
        <w:t>The success and withdrawal rates for PH1</w:t>
      </w:r>
      <w:r w:rsidR="00DD4664">
        <w:rPr>
          <w:rFonts w:ascii="Times New Roman" w:hAnsi="Times New Roman" w:cs="Times New Roman"/>
        </w:rPr>
        <w:t>703 are shown in the graph at left</w:t>
      </w:r>
      <w:r w:rsidR="00A073CC" w:rsidRPr="00846FE1">
        <w:rPr>
          <w:rFonts w:ascii="Times New Roman" w:hAnsi="Times New Roman" w:cs="Times New Roman"/>
        </w:rPr>
        <w:t xml:space="preserve"> for academic years 2010-2012.</w:t>
      </w:r>
      <w:r w:rsidR="00A85C0C" w:rsidRPr="00846FE1">
        <w:rPr>
          <w:rFonts w:ascii="Times New Roman" w:hAnsi="Times New Roman" w:cs="Times New Roman"/>
        </w:rPr>
        <w:t xml:space="preserve"> </w:t>
      </w:r>
      <w:r w:rsidR="00EB3780" w:rsidRPr="00846FE1">
        <w:rPr>
          <w:rFonts w:ascii="Times New Roman" w:hAnsi="Times New Roman" w:cs="Times New Roman"/>
        </w:rPr>
        <w:t xml:space="preserve">The </w:t>
      </w:r>
      <w:r w:rsidR="00A31A1D" w:rsidRPr="00846FE1">
        <w:rPr>
          <w:rFonts w:ascii="Times New Roman" w:hAnsi="Times New Roman" w:cs="Times New Roman"/>
        </w:rPr>
        <w:t>pie charts</w:t>
      </w:r>
      <w:r w:rsidR="00EB3780" w:rsidRPr="00846FE1">
        <w:rPr>
          <w:rFonts w:ascii="Times New Roman" w:hAnsi="Times New Roman" w:cs="Times New Roman"/>
        </w:rPr>
        <w:t xml:space="preserve"> below compare </w:t>
      </w:r>
      <w:r w:rsidR="00A073CC" w:rsidRPr="00846FE1">
        <w:rPr>
          <w:rFonts w:ascii="Times New Roman" w:hAnsi="Times New Roman" w:cs="Times New Roman"/>
        </w:rPr>
        <w:t xml:space="preserve">grades in </w:t>
      </w:r>
      <w:r w:rsidR="00A31A1D" w:rsidRPr="00846FE1">
        <w:rPr>
          <w:rFonts w:ascii="Times New Roman" w:hAnsi="Times New Roman" w:cs="Times New Roman"/>
        </w:rPr>
        <w:t>prerequisite MT1505 (Pre-Calculus</w:t>
      </w:r>
      <w:r w:rsidR="00D7462D">
        <w:rPr>
          <w:rFonts w:ascii="Times New Roman" w:hAnsi="Times New Roman" w:cs="Times New Roman"/>
        </w:rPr>
        <w:t xml:space="preserve"> I) to each student’s </w:t>
      </w:r>
      <w:r w:rsidR="00A31A1D" w:rsidRPr="00846FE1">
        <w:rPr>
          <w:rFonts w:ascii="Times New Roman" w:hAnsi="Times New Roman" w:cs="Times New Roman"/>
        </w:rPr>
        <w:t xml:space="preserve">grade in </w:t>
      </w:r>
      <w:r w:rsidR="00A073CC" w:rsidRPr="00846FE1">
        <w:rPr>
          <w:rFonts w:ascii="Times New Roman" w:hAnsi="Times New Roman" w:cs="Times New Roman"/>
        </w:rPr>
        <w:t>PH1703</w:t>
      </w:r>
      <w:r w:rsidR="00846FE1">
        <w:rPr>
          <w:rFonts w:ascii="Times New Roman" w:hAnsi="Times New Roman" w:cs="Times New Roman"/>
        </w:rPr>
        <w:t>.</w:t>
      </w:r>
      <w:r w:rsidR="00846FE1" w:rsidRPr="00846FE1">
        <w:rPr>
          <w:rFonts w:ascii="Times New Roman" w:hAnsi="Times New Roman" w:cs="Times New Roman"/>
          <w:noProof/>
        </w:rPr>
        <w:t xml:space="preserve"> </w:t>
      </w:r>
    </w:p>
    <w:tbl>
      <w:tblPr>
        <w:tblpPr w:leftFromText="180" w:rightFromText="180" w:vertAnchor="text" w:horzAnchor="margin" w:tblpXSpec="right" w:tblpY="2439"/>
        <w:tblW w:w="2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060"/>
        <w:gridCol w:w="1470"/>
      </w:tblGrid>
      <w:tr w:rsidR="00D7462D" w:rsidRPr="00846FE1" w:rsidTr="00307941">
        <w:trPr>
          <w:trHeight w:val="422"/>
        </w:trPr>
        <w:tc>
          <w:tcPr>
            <w:tcW w:w="1060" w:type="dxa"/>
            <w:shd w:val="clear" w:color="auto" w:fill="auto"/>
            <w:noWrap/>
            <w:vAlign w:val="bottom"/>
            <w:hideMark/>
          </w:tcPr>
          <w:p w:rsidR="00D7462D" w:rsidRPr="00846FE1" w:rsidRDefault="00D7462D" w:rsidP="00D7462D">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MT1505 grade</w:t>
            </w:r>
          </w:p>
        </w:tc>
        <w:tc>
          <w:tcPr>
            <w:tcW w:w="1470" w:type="dxa"/>
            <w:shd w:val="clear" w:color="auto" w:fill="auto"/>
            <w:noWrap/>
            <w:vAlign w:val="bottom"/>
            <w:hideMark/>
          </w:tcPr>
          <w:p w:rsidR="00D7462D" w:rsidRPr="00846FE1" w:rsidRDefault="00D7462D" w:rsidP="00D7462D">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PH1703 success rate</w:t>
            </w:r>
          </w:p>
        </w:tc>
      </w:tr>
      <w:tr w:rsidR="00D7462D" w:rsidRPr="00846FE1" w:rsidTr="00307941">
        <w:trPr>
          <w:trHeight w:val="422"/>
        </w:trPr>
        <w:tc>
          <w:tcPr>
            <w:tcW w:w="1060" w:type="dxa"/>
            <w:shd w:val="clear" w:color="auto" w:fill="auto"/>
            <w:noWrap/>
            <w:vAlign w:val="bottom"/>
            <w:hideMark/>
          </w:tcPr>
          <w:p w:rsidR="00D7462D" w:rsidRPr="00846FE1" w:rsidRDefault="00D7462D" w:rsidP="00D7462D">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A</w:t>
            </w:r>
          </w:p>
        </w:tc>
        <w:tc>
          <w:tcPr>
            <w:tcW w:w="1470" w:type="dxa"/>
            <w:shd w:val="clear" w:color="auto" w:fill="auto"/>
            <w:noWrap/>
            <w:vAlign w:val="bottom"/>
            <w:hideMark/>
          </w:tcPr>
          <w:p w:rsidR="00D7462D" w:rsidRPr="00846FE1" w:rsidRDefault="00D7462D" w:rsidP="00D7462D">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88.9%</w:t>
            </w:r>
          </w:p>
        </w:tc>
      </w:tr>
      <w:tr w:rsidR="00D7462D" w:rsidRPr="00846FE1" w:rsidTr="00307941">
        <w:trPr>
          <w:trHeight w:val="422"/>
        </w:trPr>
        <w:tc>
          <w:tcPr>
            <w:tcW w:w="1060" w:type="dxa"/>
            <w:shd w:val="clear" w:color="auto" w:fill="auto"/>
            <w:noWrap/>
            <w:vAlign w:val="bottom"/>
            <w:hideMark/>
          </w:tcPr>
          <w:p w:rsidR="00D7462D" w:rsidRPr="00846FE1" w:rsidRDefault="00D7462D" w:rsidP="00D7462D">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B</w:t>
            </w:r>
          </w:p>
        </w:tc>
        <w:tc>
          <w:tcPr>
            <w:tcW w:w="1470" w:type="dxa"/>
            <w:shd w:val="clear" w:color="auto" w:fill="auto"/>
            <w:noWrap/>
            <w:vAlign w:val="bottom"/>
            <w:hideMark/>
          </w:tcPr>
          <w:p w:rsidR="00D7462D" w:rsidRPr="00846FE1" w:rsidRDefault="00D7462D" w:rsidP="00D7462D">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93.8%</w:t>
            </w:r>
          </w:p>
        </w:tc>
      </w:tr>
      <w:tr w:rsidR="00D7462D" w:rsidRPr="00846FE1" w:rsidTr="00307941">
        <w:trPr>
          <w:trHeight w:val="444"/>
        </w:trPr>
        <w:tc>
          <w:tcPr>
            <w:tcW w:w="1060" w:type="dxa"/>
            <w:shd w:val="clear" w:color="auto" w:fill="auto"/>
            <w:noWrap/>
            <w:vAlign w:val="bottom"/>
            <w:hideMark/>
          </w:tcPr>
          <w:p w:rsidR="00D7462D" w:rsidRPr="00846FE1" w:rsidRDefault="00D7462D" w:rsidP="00D7462D">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C</w:t>
            </w:r>
          </w:p>
        </w:tc>
        <w:tc>
          <w:tcPr>
            <w:tcW w:w="1470" w:type="dxa"/>
            <w:shd w:val="clear" w:color="auto" w:fill="auto"/>
            <w:noWrap/>
            <w:vAlign w:val="bottom"/>
            <w:hideMark/>
          </w:tcPr>
          <w:p w:rsidR="00D7462D" w:rsidRPr="00846FE1" w:rsidRDefault="00D7462D" w:rsidP="00D7462D">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94.1%</w:t>
            </w:r>
          </w:p>
        </w:tc>
      </w:tr>
    </w:tbl>
    <w:p w:rsidR="00307941" w:rsidRDefault="00307941" w:rsidP="000B09C0">
      <w:pPr>
        <w:rPr>
          <w:rFonts w:ascii="Times New Roman" w:hAnsi="Times New Roman" w:cs="Times New Roman"/>
        </w:rPr>
      </w:pPr>
      <w:r w:rsidRPr="0030794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F1E54B4" wp14:editId="39A454E8">
                <wp:simplePos x="0" y="0"/>
                <wp:positionH relativeFrom="column">
                  <wp:posOffset>-2686050</wp:posOffset>
                </wp:positionH>
                <wp:positionV relativeFrom="paragraph">
                  <wp:posOffset>1194435</wp:posOffset>
                </wp:positionV>
                <wp:extent cx="814070" cy="445135"/>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445135"/>
                        </a:xfrm>
                        <a:prstGeom prst="rect">
                          <a:avLst/>
                        </a:prstGeom>
                        <a:solidFill>
                          <a:srgbClr val="FFFFFF"/>
                        </a:solidFill>
                        <a:ln w="9525">
                          <a:noFill/>
                          <a:miter lim="800000"/>
                          <a:headEnd/>
                          <a:tailEnd/>
                        </a:ln>
                      </wps:spPr>
                      <wps:txbx>
                        <w:txbxContent>
                          <w:p w:rsidR="00307941" w:rsidRPr="00DD4664" w:rsidRDefault="00307941" w:rsidP="00307941">
                            <w:pPr>
                              <w:rPr>
                                <w:sz w:val="18"/>
                                <w:szCs w:val="18"/>
                              </w:rPr>
                            </w:pPr>
                            <w:r w:rsidRPr="00DD4664">
                              <w:rPr>
                                <w:sz w:val="18"/>
                                <w:szCs w:val="18"/>
                              </w:rPr>
                              <w:t>Sample size</w:t>
                            </w:r>
                            <w:proofErr w:type="gramStart"/>
                            <w:r>
                              <w:rPr>
                                <w:sz w:val="18"/>
                                <w:szCs w:val="18"/>
                              </w:rPr>
                              <w:t>-</w:t>
                            </w:r>
                            <w:r w:rsidRPr="00DD4664">
                              <w:rPr>
                                <w:sz w:val="18"/>
                                <w:szCs w:val="18"/>
                              </w:rPr>
                              <w:t xml:space="preserve">  </w:t>
                            </w:r>
                            <w:r>
                              <w:rPr>
                                <w:sz w:val="18"/>
                                <w:szCs w:val="18"/>
                              </w:rPr>
                              <w:t>10</w:t>
                            </w:r>
                            <w:proofErr w:type="gramEnd"/>
                            <w:r w:rsidRPr="00DD4664">
                              <w:rPr>
                                <w:sz w:val="18"/>
                                <w:szCs w:val="18"/>
                              </w:rPr>
                              <w:t xml:space="preserve"> </w:t>
                            </w:r>
                            <w:r>
                              <w:rPr>
                                <w:sz w:val="18"/>
                                <w:szCs w:val="18"/>
                              </w:rPr>
                              <w:t>s</w:t>
                            </w:r>
                            <w:r w:rsidRPr="00DD4664">
                              <w:rPr>
                                <w:sz w:val="18"/>
                                <w:szCs w:val="18"/>
                              </w:rPr>
                              <w:t>tudents</w:t>
                            </w:r>
                          </w:p>
                          <w:p w:rsidR="00307941" w:rsidRDefault="00307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1.5pt;margin-top:94.05pt;width:64.1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f8IAIAACEEAAAOAAAAZHJzL2Uyb0RvYy54bWysU9tu2zAMfR+wfxD0vtjJnLU14hRdugwD&#10;ugvQ7gNoWY6FyaImKbG7ry8lp2m2vQ3TgyCK5NHhIbW6HnvNDtJ5habi81nOmTQCG2V2Ff/+sH1z&#10;yZkPYBrQaGTFH6Xn1+vXr1aDLeUCO9SNdIxAjC8HW/EuBFtmmRed7MHP0EpDzhZdD4FMt8saBwOh&#10;9zpb5Pm7bEDXWIdCek+3t5OTrxN+20oRvratl4HpihO3kHaX9jru2XoF5c6B7ZQ40oB/YNGDMvTo&#10;CeoWArC9U39B9Uo49NiGmcA+w7ZVQqYaqJp5/kc19x1YmWohcbw9yeT/H6z4cvjmmGoqXnBmoKcW&#10;PcgxsPc4skVUZ7C+pKB7S2FhpGvqcqrU2zsUPzwzuOnA7OSNczh0EhpiN4+Z2VnqhOMjSD18xoae&#10;gX3ABDS2ro/SkRiM0KlLj6fORCqCLi/nRX5BHkGuoljO3y7TC1A+J1vnw0eJPYuHijtqfAKHw50P&#10;kQyUzyHxLY9aNVuldTLcrt5oxw5AQ7JN64j+W5g2bKj41XKxTMgGY36an14FGmKteiKaxxXToYxi&#10;fDBNOgdQejoTE22O6kRBJmnCWI+pDUm6qFyNzSPJ5XCaWfpjdOjQ/eJsoHmtuP+5Byc5058MSX41&#10;L4o44MkolhcLMty5pz73gBEEVfHA2XTchPQpIm2DN9SaViXZXpgcKdMcJjWPfyYO+rmdol5+9voJ&#10;AAD//wMAUEsDBBQABgAIAAAAIQCq9CeL4QAAAA0BAAAPAAAAZHJzL2Rvd25yZXYueG1sTI/RToNA&#10;EEXfTfyHzZj4YuhSpC1FlkZNNL629gMWdgpEdpaw20L/3vHJPk7uzZ1zit1se3HB0XeOFCwXMQik&#10;2pmOGgXH748oA+GDJqN7R6jgih525f1doXPjJtrj5RAawSPkc62gDWHIpfR1i1b7hRuQODu50erA&#10;59hIM+qJx20vkzheS6s74g+tHvC9xfrncLYKTl/T02o7VZ/huNmn6zfdbSp3VerxYX59ARFwDv9l&#10;+MNndCiZqXJnMl70CqI0eWaZwEmWLUFwJUq2KetUCpJVloAsC3lrUf4CAAD//wMAUEsBAi0AFAAG&#10;AAgAAAAhALaDOJL+AAAA4QEAABMAAAAAAAAAAAAAAAAAAAAAAFtDb250ZW50X1R5cGVzXS54bWxQ&#10;SwECLQAUAAYACAAAACEAOP0h/9YAAACUAQAACwAAAAAAAAAAAAAAAAAvAQAAX3JlbHMvLnJlbHNQ&#10;SwECLQAUAAYACAAAACEAZTLn/CACAAAhBAAADgAAAAAAAAAAAAAAAAAuAgAAZHJzL2Uyb0RvYy54&#10;bWxQSwECLQAUAAYACAAAACEAqvQni+EAAAANAQAADwAAAAAAAAAAAAAAAAB6BAAAZHJzL2Rvd25y&#10;ZXYueG1sUEsFBgAAAAAEAAQA8wAAAIgFAAAAAA==&#10;" stroked="f">
                <v:textbox>
                  <w:txbxContent>
                    <w:p w:rsidR="00307941" w:rsidRPr="00DD4664" w:rsidRDefault="00307941" w:rsidP="00307941">
                      <w:pPr>
                        <w:rPr>
                          <w:sz w:val="18"/>
                          <w:szCs w:val="18"/>
                        </w:rPr>
                      </w:pPr>
                      <w:r w:rsidRPr="00DD4664">
                        <w:rPr>
                          <w:sz w:val="18"/>
                          <w:szCs w:val="18"/>
                        </w:rPr>
                        <w:t>Sample size</w:t>
                      </w:r>
                      <w:proofErr w:type="gramStart"/>
                      <w:r>
                        <w:rPr>
                          <w:sz w:val="18"/>
                          <w:szCs w:val="18"/>
                        </w:rPr>
                        <w:t>-</w:t>
                      </w:r>
                      <w:r w:rsidRPr="00DD4664">
                        <w:rPr>
                          <w:sz w:val="18"/>
                          <w:szCs w:val="18"/>
                        </w:rPr>
                        <w:t xml:space="preserve">  </w:t>
                      </w:r>
                      <w:r>
                        <w:rPr>
                          <w:sz w:val="18"/>
                          <w:szCs w:val="18"/>
                        </w:rPr>
                        <w:t>10</w:t>
                      </w:r>
                      <w:proofErr w:type="gramEnd"/>
                      <w:r w:rsidRPr="00DD4664">
                        <w:rPr>
                          <w:sz w:val="18"/>
                          <w:szCs w:val="18"/>
                        </w:rPr>
                        <w:t xml:space="preserve"> </w:t>
                      </w:r>
                      <w:r>
                        <w:rPr>
                          <w:sz w:val="18"/>
                          <w:szCs w:val="18"/>
                        </w:rPr>
                        <w:t>s</w:t>
                      </w:r>
                      <w:r w:rsidRPr="00DD4664">
                        <w:rPr>
                          <w:sz w:val="18"/>
                          <w:szCs w:val="18"/>
                        </w:rPr>
                        <w:t>tudents</w:t>
                      </w:r>
                    </w:p>
                    <w:p w:rsidR="00307941" w:rsidRDefault="00307941"/>
                  </w:txbxContent>
                </v:textbox>
              </v:shape>
            </w:pict>
          </mc:Fallback>
        </mc:AlternateContent>
      </w:r>
      <w:r w:rsidRPr="00846FE1">
        <w:rPr>
          <w:rFonts w:ascii="Times New Roman" w:hAnsi="Times New Roman" w:cs="Times New Roman"/>
          <w:noProof/>
        </w:rPr>
        <w:drawing>
          <wp:anchor distT="0" distB="0" distL="114300" distR="114300" simplePos="0" relativeHeight="251662336" behindDoc="0" locked="0" layoutInCell="1" allowOverlap="1" wp14:anchorId="5F3D5B9D" wp14:editId="4FF07E42">
            <wp:simplePos x="0" y="0"/>
            <wp:positionH relativeFrom="column">
              <wp:posOffset>-48260</wp:posOffset>
            </wp:positionH>
            <wp:positionV relativeFrom="paragraph">
              <wp:posOffset>1054100</wp:posOffset>
            </wp:positionV>
            <wp:extent cx="3081020" cy="1743710"/>
            <wp:effectExtent l="0" t="0" r="24130" b="2794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D7462D" w:rsidRPr="00846FE1">
        <w:rPr>
          <w:rFonts w:ascii="Times New Roman" w:hAnsi="Times New Roman" w:cs="Times New Roman"/>
          <w:noProof/>
        </w:rPr>
        <w:drawing>
          <wp:anchor distT="0" distB="0" distL="114300" distR="114300" simplePos="0" relativeHeight="251670528" behindDoc="0" locked="0" layoutInCell="1" allowOverlap="1" wp14:anchorId="590EBBE0" wp14:editId="254A5F89">
            <wp:simplePos x="0" y="0"/>
            <wp:positionH relativeFrom="column">
              <wp:posOffset>3201670</wp:posOffset>
            </wp:positionH>
            <wp:positionV relativeFrom="paragraph">
              <wp:posOffset>1509395</wp:posOffset>
            </wp:positionV>
            <wp:extent cx="1520825" cy="1236980"/>
            <wp:effectExtent l="0" t="0" r="22225" b="2032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B37869" w:rsidRDefault="00307941" w:rsidP="00B37869">
      <w:pPr>
        <w:rPr>
          <w:rFonts w:ascii="Times New Roman" w:hAnsi="Times New Roman" w:cs="Times New Roman"/>
        </w:rPr>
      </w:pPr>
      <w:r w:rsidRPr="00846FE1">
        <w:rPr>
          <w:rFonts w:ascii="Times New Roman" w:hAnsi="Times New Roman" w:cs="Times New Roman"/>
        </w:rPr>
        <w:t>Although PH17</w:t>
      </w:r>
      <w:r>
        <w:rPr>
          <w:rFonts w:ascii="Times New Roman" w:hAnsi="Times New Roman" w:cs="Times New Roman"/>
        </w:rPr>
        <w:t>03 is a</w:t>
      </w:r>
      <w:r w:rsidR="00D7462D">
        <w:rPr>
          <w:rFonts w:ascii="Times New Roman" w:hAnsi="Times New Roman" w:cs="Times New Roman"/>
        </w:rPr>
        <w:t xml:space="preserve"> prerequisite for PH1803 </w:t>
      </w:r>
      <w:r w:rsidR="00D7462D" w:rsidRPr="00846FE1">
        <w:rPr>
          <w:rFonts w:ascii="Times New Roman" w:hAnsi="Times New Roman" w:cs="Times New Roman"/>
        </w:rPr>
        <w:t>(College Physics II), not all degree programs require</w:t>
      </w:r>
      <w:r w:rsidR="00D7462D" w:rsidRPr="00D7462D">
        <w:rPr>
          <w:rFonts w:ascii="Times New Roman" w:hAnsi="Times New Roman" w:cs="Times New Roman"/>
        </w:rPr>
        <w:t xml:space="preserve"> </w:t>
      </w:r>
      <w:r w:rsidR="00D7462D" w:rsidRPr="00846FE1">
        <w:rPr>
          <w:rFonts w:ascii="Times New Roman" w:hAnsi="Times New Roman" w:cs="Times New Roman"/>
        </w:rPr>
        <w:t>both courses</w:t>
      </w:r>
      <w:r w:rsidR="00D7462D">
        <w:rPr>
          <w:rFonts w:ascii="Times New Roman" w:hAnsi="Times New Roman" w:cs="Times New Roman"/>
        </w:rPr>
        <w:t xml:space="preserve"> which leads to low enrollment.</w:t>
      </w:r>
      <w:r w:rsidR="00D7462D" w:rsidRPr="00846FE1">
        <w:rPr>
          <w:rFonts w:ascii="Times New Roman" w:hAnsi="Times New Roman" w:cs="Times New Roman"/>
        </w:rPr>
        <w:t xml:space="preserve"> The success </w:t>
      </w:r>
      <w:r>
        <w:rPr>
          <w:rFonts w:ascii="Times New Roman" w:hAnsi="Times New Roman" w:cs="Times New Roman"/>
        </w:rPr>
        <w:t xml:space="preserve">rate for </w:t>
      </w:r>
      <w:r w:rsidR="00D7462D" w:rsidRPr="00846FE1">
        <w:rPr>
          <w:rFonts w:ascii="Times New Roman" w:hAnsi="Times New Roman" w:cs="Times New Roman"/>
        </w:rPr>
        <w:t xml:space="preserve">PH1803 </w:t>
      </w:r>
      <w:r>
        <w:rPr>
          <w:rFonts w:ascii="Times New Roman" w:hAnsi="Times New Roman" w:cs="Times New Roman"/>
        </w:rPr>
        <w:t xml:space="preserve">was 100% </w:t>
      </w:r>
      <w:r w:rsidRPr="00307941">
        <w:rPr>
          <w:rFonts w:ascii="Times New Roman" w:hAnsi="Times New Roman" w:cs="Times New Roman"/>
        </w:rPr>
        <w:t xml:space="preserve">(defined as a grade of A, B, or C), </w:t>
      </w:r>
      <w:r w:rsidR="00D7462D" w:rsidRPr="00846FE1">
        <w:rPr>
          <w:rFonts w:ascii="Times New Roman" w:hAnsi="Times New Roman" w:cs="Times New Roman"/>
        </w:rPr>
        <w:t>for academic years 2010 and 2013.</w:t>
      </w:r>
      <w:r>
        <w:rPr>
          <w:rFonts w:ascii="Times New Roman" w:hAnsi="Times New Roman" w:cs="Times New Roman"/>
        </w:rPr>
        <w:t xml:space="preserve"> The sample size of 10 students may</w:t>
      </w:r>
      <w:r w:rsidR="00B37869" w:rsidRPr="00846FE1">
        <w:rPr>
          <w:rFonts w:ascii="Times New Roman" w:hAnsi="Times New Roman" w:cs="Times New Roman"/>
        </w:rPr>
        <w:t xml:space="preserve"> be too small to draw any meaningful conclusions.</w:t>
      </w:r>
      <w:r>
        <w:rPr>
          <w:rFonts w:ascii="Times New Roman" w:hAnsi="Times New Roman" w:cs="Times New Roman"/>
        </w:rPr>
        <w:t xml:space="preserve"> </w:t>
      </w:r>
      <w:r w:rsidR="00B37869" w:rsidRPr="00846FE1">
        <w:rPr>
          <w:rFonts w:ascii="Times New Roman" w:hAnsi="Times New Roman" w:cs="Times New Roman"/>
        </w:rPr>
        <w:t>In the future, it may be useful to analyze degree completion rates compared to success in both PH1703 and PH1803, as well as the success rate in PH1803 compared to the students’ respective grades in PH1703.</w:t>
      </w:r>
    </w:p>
    <w:p w:rsidR="00D73540" w:rsidRPr="00EE4BC8" w:rsidRDefault="00D73540" w:rsidP="00D73540">
      <w:pPr>
        <w:pStyle w:val="Heading2"/>
        <w:rPr>
          <w:rFonts w:ascii="Times New Roman" w:hAnsi="Times New Roman" w:cs="Times New Roman"/>
        </w:rPr>
      </w:pPr>
      <w:r w:rsidRPr="00EE4BC8">
        <w:rPr>
          <w:rFonts w:ascii="Times New Roman" w:hAnsi="Times New Roman" w:cs="Times New Roman"/>
        </w:rPr>
        <w:t>Interpretation of Results</w:t>
      </w:r>
    </w:p>
    <w:p w:rsidR="00D73540" w:rsidRDefault="00D73540" w:rsidP="00D73540">
      <w:pPr>
        <w:rPr>
          <w:rFonts w:ascii="Times New Roman" w:hAnsi="Times New Roman" w:cs="Times New Roman"/>
        </w:rPr>
      </w:pPr>
      <w:r>
        <w:rPr>
          <w:rFonts w:ascii="Times New Roman" w:hAnsi="Times New Roman" w:cs="Times New Roman"/>
        </w:rPr>
        <w:t xml:space="preserve">The most striking result is the low number of students enrolled in College Physics. This appears to be due to two factors; the low enrollment in programs which feature College Physics as a degree requirement, and students choosing other courses for a nonspecific degree requirement for a science course. </w:t>
      </w:r>
    </w:p>
    <w:p w:rsidR="00D73540" w:rsidRDefault="00D73540" w:rsidP="00D73540">
      <w:pPr>
        <w:rPr>
          <w:rFonts w:ascii="Times New Roman" w:hAnsi="Times New Roman" w:cs="Times New Roman"/>
        </w:rPr>
      </w:pPr>
      <w:r>
        <w:rPr>
          <w:rFonts w:ascii="Times New Roman" w:hAnsi="Times New Roman" w:cs="Times New Roman"/>
        </w:rPr>
        <w:lastRenderedPageBreak/>
        <w:t>Due to the l</w:t>
      </w:r>
      <w:r w:rsidR="002F377E">
        <w:rPr>
          <w:rFonts w:ascii="Times New Roman" w:hAnsi="Times New Roman" w:cs="Times New Roman"/>
        </w:rPr>
        <w:t>o</w:t>
      </w:r>
      <w:r>
        <w:rPr>
          <w:rFonts w:ascii="Times New Roman" w:hAnsi="Times New Roman" w:cs="Times New Roman"/>
        </w:rPr>
        <w:t xml:space="preserve">w sample size, grades in prerequisite math courses for College Physics may not indicate any meaningful conclusions. </w:t>
      </w:r>
    </w:p>
    <w:p w:rsidR="00D73540" w:rsidRPr="00846FE1" w:rsidRDefault="00D73540" w:rsidP="00D73540">
      <w:pPr>
        <w:rPr>
          <w:rFonts w:ascii="Times New Roman" w:hAnsi="Times New Roman" w:cs="Times New Roman"/>
        </w:rPr>
      </w:pPr>
      <w:r>
        <w:rPr>
          <w:rFonts w:ascii="Times New Roman" w:hAnsi="Times New Roman" w:cs="Times New Roman"/>
        </w:rPr>
        <w:t xml:space="preserve">Success rates in College Physics may not be meaningful due to the low sample size, but the extremely low enrollment allowed an unusual amount of individual attention to each student, which could account for the unusual success rate. </w:t>
      </w:r>
    </w:p>
    <w:p w:rsidR="00D73540" w:rsidRPr="00D73540" w:rsidRDefault="00D73540" w:rsidP="00D73540">
      <w:pPr>
        <w:pStyle w:val="Heading2"/>
        <w:rPr>
          <w:rFonts w:ascii="Times New Roman" w:hAnsi="Times New Roman" w:cs="Times New Roman"/>
          <w:sz w:val="28"/>
          <w:szCs w:val="28"/>
        </w:rPr>
      </w:pPr>
      <w:r w:rsidRPr="00D73540">
        <w:rPr>
          <w:rFonts w:ascii="Times New Roman" w:hAnsi="Times New Roman" w:cs="Times New Roman"/>
          <w:sz w:val="28"/>
          <w:szCs w:val="28"/>
        </w:rPr>
        <w:t xml:space="preserve">Assessment Plan: PH1703/1803 </w:t>
      </w:r>
    </w:p>
    <w:p w:rsidR="00D73540" w:rsidRPr="00846FE1" w:rsidRDefault="00D73540" w:rsidP="00D73540">
      <w:pPr>
        <w:rPr>
          <w:rFonts w:ascii="Times New Roman" w:hAnsi="Times New Roman" w:cs="Times New Roman"/>
        </w:rPr>
      </w:pPr>
      <w:r w:rsidRPr="00846FE1">
        <w:rPr>
          <w:rFonts w:ascii="Times New Roman" w:hAnsi="Times New Roman" w:cs="Times New Roman"/>
        </w:rPr>
        <w:t>In light of the data, the department has set the following goals for the academic year 2013 – 2014:</w:t>
      </w:r>
    </w:p>
    <w:p w:rsidR="003934DE" w:rsidRDefault="003934DE" w:rsidP="00D73540">
      <w:pPr>
        <w:numPr>
          <w:ilvl w:val="0"/>
          <w:numId w:val="2"/>
        </w:numPr>
        <w:contextualSpacing/>
        <w:rPr>
          <w:rFonts w:ascii="Times New Roman" w:hAnsi="Times New Roman" w:cs="Times New Roman"/>
        </w:rPr>
      </w:pPr>
      <w:r w:rsidRPr="003934DE">
        <w:rPr>
          <w:rFonts w:ascii="Times New Roman" w:hAnsi="Times New Roman" w:cs="Times New Roman"/>
        </w:rPr>
        <w:t xml:space="preserve">Integrate more laboratory sessions into the curriculum beginning </w:t>
      </w:r>
      <w:proofErr w:type="gramStart"/>
      <w:r w:rsidRPr="003934DE">
        <w:rPr>
          <w:rFonts w:ascii="Times New Roman" w:hAnsi="Times New Roman" w:cs="Times New Roman"/>
        </w:rPr>
        <w:t>Fall</w:t>
      </w:r>
      <w:proofErr w:type="gramEnd"/>
      <w:r w:rsidRPr="003934DE">
        <w:rPr>
          <w:rFonts w:ascii="Times New Roman" w:hAnsi="Times New Roman" w:cs="Times New Roman"/>
        </w:rPr>
        <w:t xml:space="preserve"> 2013.  Assessment of the lab reports will promote better scientific reasoning and deduction skills, and writing skills.  Knowledge of associated classroom material can be assessed for an increase in understanding.</w:t>
      </w:r>
    </w:p>
    <w:p w:rsidR="00D73540" w:rsidRPr="00846FE1" w:rsidRDefault="003934DE" w:rsidP="00D73540">
      <w:pPr>
        <w:numPr>
          <w:ilvl w:val="0"/>
          <w:numId w:val="2"/>
        </w:numPr>
        <w:contextualSpacing/>
        <w:rPr>
          <w:rFonts w:ascii="Times New Roman" w:hAnsi="Times New Roman" w:cs="Times New Roman"/>
        </w:rPr>
      </w:pPr>
      <w:r>
        <w:rPr>
          <w:rFonts w:ascii="Times New Roman" w:hAnsi="Times New Roman" w:cs="Times New Roman"/>
        </w:rPr>
        <w:t>A</w:t>
      </w:r>
      <w:r w:rsidR="00D73540" w:rsidRPr="00846FE1">
        <w:rPr>
          <w:rFonts w:ascii="Times New Roman" w:hAnsi="Times New Roman" w:cs="Times New Roman"/>
        </w:rPr>
        <w:t xml:space="preserve">nalyze final exams in PH1703/1803 </w:t>
      </w:r>
      <w:r>
        <w:rPr>
          <w:rFonts w:ascii="Times New Roman" w:hAnsi="Times New Roman" w:cs="Times New Roman"/>
        </w:rPr>
        <w:t xml:space="preserve">and pre/post test data </w:t>
      </w:r>
      <w:r w:rsidR="00D73540" w:rsidRPr="00846FE1">
        <w:rPr>
          <w:rFonts w:ascii="Times New Roman" w:hAnsi="Times New Roman" w:cs="Times New Roman"/>
        </w:rPr>
        <w:t>to compare successful versus unsuccessful students to help isolate particular skill and concept areas that separate successful and unsuccessful students.</w:t>
      </w:r>
      <w:r>
        <w:rPr>
          <w:rFonts w:ascii="Times New Roman" w:hAnsi="Times New Roman" w:cs="Times New Roman"/>
        </w:rPr>
        <w:t xml:space="preserve"> This can begin with the data from the </w:t>
      </w:r>
      <w:proofErr w:type="gramStart"/>
      <w:r>
        <w:rPr>
          <w:rFonts w:ascii="Times New Roman" w:hAnsi="Times New Roman" w:cs="Times New Roman"/>
        </w:rPr>
        <w:t>Fall</w:t>
      </w:r>
      <w:proofErr w:type="gramEnd"/>
      <w:r>
        <w:rPr>
          <w:rFonts w:ascii="Times New Roman" w:hAnsi="Times New Roman" w:cs="Times New Roman"/>
        </w:rPr>
        <w:t xml:space="preserve"> 2013 semester.</w:t>
      </w:r>
    </w:p>
    <w:p w:rsidR="00A6524C" w:rsidRDefault="00D73540" w:rsidP="00D73540">
      <w:pPr>
        <w:numPr>
          <w:ilvl w:val="0"/>
          <w:numId w:val="2"/>
        </w:numPr>
        <w:contextualSpacing/>
        <w:rPr>
          <w:rFonts w:ascii="Times New Roman" w:hAnsi="Times New Roman" w:cs="Times New Roman"/>
        </w:rPr>
      </w:pPr>
      <w:r w:rsidRPr="009A79C2">
        <w:rPr>
          <w:rFonts w:ascii="Times New Roman" w:hAnsi="Times New Roman" w:cs="Times New Roman"/>
        </w:rPr>
        <w:t xml:space="preserve">Continue </w:t>
      </w:r>
      <w:r w:rsidR="008516A2">
        <w:rPr>
          <w:rFonts w:ascii="Times New Roman" w:hAnsi="Times New Roman" w:cs="Times New Roman"/>
        </w:rPr>
        <w:t xml:space="preserve">in the fall of 2013 </w:t>
      </w:r>
      <w:r w:rsidRPr="009A79C2">
        <w:rPr>
          <w:rFonts w:ascii="Times New Roman" w:hAnsi="Times New Roman" w:cs="Times New Roman"/>
        </w:rPr>
        <w:t xml:space="preserve">to focus on enrollment numbers </w:t>
      </w:r>
      <w:r w:rsidR="008516A2">
        <w:rPr>
          <w:rFonts w:ascii="Times New Roman" w:hAnsi="Times New Roman" w:cs="Times New Roman"/>
        </w:rPr>
        <w:t xml:space="preserve">from within the college </w:t>
      </w:r>
      <w:r w:rsidRPr="009A79C2">
        <w:rPr>
          <w:rFonts w:ascii="Times New Roman" w:hAnsi="Times New Roman" w:cs="Times New Roman"/>
        </w:rPr>
        <w:t xml:space="preserve">by </w:t>
      </w:r>
      <w:r w:rsidR="008516A2">
        <w:rPr>
          <w:rFonts w:ascii="Times New Roman" w:hAnsi="Times New Roman" w:cs="Times New Roman"/>
        </w:rPr>
        <w:t>promoting</w:t>
      </w:r>
      <w:r w:rsidRPr="009A79C2">
        <w:rPr>
          <w:rFonts w:ascii="Times New Roman" w:hAnsi="Times New Roman" w:cs="Times New Roman"/>
        </w:rPr>
        <w:t xml:space="preserve"> </w:t>
      </w:r>
      <w:r w:rsidR="008516A2">
        <w:rPr>
          <w:rFonts w:ascii="Times New Roman" w:hAnsi="Times New Roman" w:cs="Times New Roman"/>
        </w:rPr>
        <w:t>College Physics</w:t>
      </w:r>
      <w:r w:rsidRPr="009A79C2">
        <w:rPr>
          <w:rFonts w:ascii="Times New Roman" w:hAnsi="Times New Roman" w:cs="Times New Roman"/>
        </w:rPr>
        <w:t xml:space="preserve"> to students as</w:t>
      </w:r>
      <w:r w:rsidR="008516A2">
        <w:rPr>
          <w:rFonts w:ascii="Times New Roman" w:hAnsi="Times New Roman" w:cs="Times New Roman"/>
        </w:rPr>
        <w:t xml:space="preserve"> an</w:t>
      </w:r>
      <w:r w:rsidRPr="009A79C2">
        <w:rPr>
          <w:rFonts w:ascii="Times New Roman" w:hAnsi="Times New Roman" w:cs="Times New Roman"/>
        </w:rPr>
        <w:t xml:space="preserve"> interesting and useful</w:t>
      </w:r>
      <w:r w:rsidR="008516A2">
        <w:rPr>
          <w:rFonts w:ascii="Times New Roman" w:hAnsi="Times New Roman" w:cs="Times New Roman"/>
        </w:rPr>
        <w:t xml:space="preserve"> course to fulfill the science requirement for their degree program</w:t>
      </w:r>
      <w:r w:rsidR="00A6524C">
        <w:rPr>
          <w:rFonts w:ascii="Times New Roman" w:hAnsi="Times New Roman" w:cs="Times New Roman"/>
        </w:rPr>
        <w:t>.</w:t>
      </w:r>
    </w:p>
    <w:p w:rsidR="00D73540" w:rsidRDefault="00A6524C" w:rsidP="00D73540">
      <w:pPr>
        <w:numPr>
          <w:ilvl w:val="0"/>
          <w:numId w:val="2"/>
        </w:numPr>
        <w:contextualSpacing/>
        <w:rPr>
          <w:rFonts w:ascii="Times New Roman" w:hAnsi="Times New Roman" w:cs="Times New Roman"/>
        </w:rPr>
      </w:pPr>
      <w:r>
        <w:rPr>
          <w:rFonts w:ascii="Times New Roman" w:hAnsi="Times New Roman" w:cs="Times New Roman"/>
        </w:rPr>
        <w:t xml:space="preserve">Continue in the fall of 2013 to </w:t>
      </w:r>
      <w:r w:rsidR="008516A2">
        <w:rPr>
          <w:rFonts w:ascii="Times New Roman" w:hAnsi="Times New Roman" w:cs="Times New Roman"/>
        </w:rPr>
        <w:t xml:space="preserve">focus on enrollment from outside the college by promoting degree programs </w:t>
      </w:r>
      <w:r w:rsidR="00D73540">
        <w:rPr>
          <w:rFonts w:ascii="Times New Roman" w:hAnsi="Times New Roman" w:cs="Times New Roman"/>
        </w:rPr>
        <w:t xml:space="preserve">which require </w:t>
      </w:r>
      <w:r w:rsidR="008516A2">
        <w:rPr>
          <w:rFonts w:ascii="Times New Roman" w:hAnsi="Times New Roman" w:cs="Times New Roman"/>
        </w:rPr>
        <w:t>College Physics</w:t>
      </w:r>
      <w:r w:rsidR="00D73540">
        <w:rPr>
          <w:rFonts w:ascii="Times New Roman" w:hAnsi="Times New Roman" w:cs="Times New Roman"/>
        </w:rPr>
        <w:t>.</w:t>
      </w:r>
    </w:p>
    <w:p w:rsidR="003934DE" w:rsidRPr="00846FE1" w:rsidRDefault="003934DE" w:rsidP="003934DE">
      <w:pPr>
        <w:numPr>
          <w:ilvl w:val="0"/>
          <w:numId w:val="2"/>
        </w:numPr>
        <w:contextualSpacing/>
        <w:rPr>
          <w:rFonts w:ascii="Times New Roman" w:hAnsi="Times New Roman" w:cs="Times New Roman"/>
        </w:rPr>
      </w:pPr>
      <w:r w:rsidRPr="00846FE1">
        <w:rPr>
          <w:rFonts w:ascii="Times New Roman" w:hAnsi="Times New Roman" w:cs="Times New Roman"/>
        </w:rPr>
        <w:t>Begin to monitor the success rates in degree programs for students successfully completing PH1703/1803</w:t>
      </w:r>
      <w:r w:rsidR="008516A2">
        <w:rPr>
          <w:rFonts w:ascii="Times New Roman" w:hAnsi="Times New Roman" w:cs="Times New Roman"/>
        </w:rPr>
        <w:t xml:space="preserve">, starting with students who completed PH1703 in </w:t>
      </w:r>
      <w:proofErr w:type="gramStart"/>
      <w:r w:rsidR="008516A2">
        <w:rPr>
          <w:rFonts w:ascii="Times New Roman" w:hAnsi="Times New Roman" w:cs="Times New Roman"/>
        </w:rPr>
        <w:t>Fall</w:t>
      </w:r>
      <w:proofErr w:type="gramEnd"/>
      <w:r w:rsidR="008516A2">
        <w:rPr>
          <w:rFonts w:ascii="Times New Roman" w:hAnsi="Times New Roman" w:cs="Times New Roman"/>
        </w:rPr>
        <w:t xml:space="preserve"> 2012.</w:t>
      </w:r>
    </w:p>
    <w:p w:rsidR="008516A2" w:rsidRDefault="008516A2" w:rsidP="00B37869">
      <w:pPr>
        <w:rPr>
          <w:rFonts w:ascii="Times New Roman" w:hAnsi="Times New Roman" w:cs="Times New Roman"/>
        </w:rPr>
      </w:pPr>
    </w:p>
    <w:p w:rsidR="008516A2" w:rsidRDefault="008516A2" w:rsidP="00B37869">
      <w:pPr>
        <w:rPr>
          <w:rFonts w:ascii="Times New Roman" w:hAnsi="Times New Roman" w:cs="Times New Roman"/>
        </w:rPr>
      </w:pPr>
    </w:p>
    <w:p w:rsidR="00A6524C" w:rsidRDefault="00A6524C" w:rsidP="00B37869">
      <w:pPr>
        <w:rPr>
          <w:rFonts w:ascii="Times New Roman" w:hAnsi="Times New Roman" w:cs="Times New Roman"/>
        </w:rPr>
      </w:pPr>
    </w:p>
    <w:p w:rsidR="00A6524C" w:rsidRDefault="00A6524C" w:rsidP="00B37869">
      <w:pPr>
        <w:rPr>
          <w:rFonts w:ascii="Times New Roman" w:hAnsi="Times New Roman" w:cs="Times New Roman"/>
        </w:rPr>
      </w:pPr>
    </w:p>
    <w:p w:rsidR="00A6524C" w:rsidRDefault="00A6524C" w:rsidP="00B37869">
      <w:pPr>
        <w:rPr>
          <w:rFonts w:ascii="Times New Roman" w:hAnsi="Times New Roman" w:cs="Times New Roman"/>
        </w:rPr>
      </w:pPr>
    </w:p>
    <w:p w:rsidR="00F760E8" w:rsidRPr="00D73540" w:rsidRDefault="00D6343C" w:rsidP="00D73540">
      <w:pPr>
        <w:tabs>
          <w:tab w:val="left" w:pos="9165"/>
        </w:tabs>
        <w:rPr>
          <w:rFonts w:ascii="Times New Roman" w:hAnsi="Times New Roman" w:cs="Times New Roman"/>
          <w:b/>
          <w:sz w:val="24"/>
        </w:rPr>
      </w:pPr>
      <w:r w:rsidRPr="00D73540">
        <w:rPr>
          <w:rFonts w:ascii="Times New Roman" w:hAnsi="Times New Roman" w:cs="Times New Roman"/>
          <w:b/>
          <w:sz w:val="36"/>
          <w:szCs w:val="36"/>
        </w:rPr>
        <w:t>General Physics I</w:t>
      </w:r>
      <w:r w:rsidR="00B37869" w:rsidRPr="00D73540">
        <w:rPr>
          <w:rFonts w:ascii="Times New Roman" w:hAnsi="Times New Roman" w:cs="Times New Roman"/>
          <w:b/>
          <w:sz w:val="36"/>
          <w:szCs w:val="36"/>
        </w:rPr>
        <w:t xml:space="preserve"> and II</w:t>
      </w:r>
      <w:r w:rsidRPr="00D73540">
        <w:rPr>
          <w:rFonts w:ascii="Times New Roman" w:hAnsi="Times New Roman" w:cs="Times New Roman"/>
          <w:sz w:val="36"/>
          <w:szCs w:val="36"/>
        </w:rPr>
        <w:t>,</w:t>
      </w:r>
      <w:r w:rsidRPr="00846FE1">
        <w:rPr>
          <w:rFonts w:ascii="Times New Roman" w:hAnsi="Times New Roman" w:cs="Times New Roman"/>
        </w:rPr>
        <w:t xml:space="preserve"> PH2103</w:t>
      </w:r>
      <w:r w:rsidR="00B37869" w:rsidRPr="00846FE1">
        <w:rPr>
          <w:rFonts w:ascii="Times New Roman" w:hAnsi="Times New Roman" w:cs="Times New Roman"/>
        </w:rPr>
        <w:t xml:space="preserve"> and PH2203</w:t>
      </w:r>
      <w:r w:rsidRPr="00846FE1">
        <w:rPr>
          <w:rFonts w:ascii="Times New Roman" w:hAnsi="Times New Roman" w:cs="Times New Roman"/>
        </w:rPr>
        <w:t xml:space="preserve">, and </w:t>
      </w:r>
      <w:r w:rsidR="00B37869" w:rsidRPr="00846FE1">
        <w:rPr>
          <w:rFonts w:ascii="Times New Roman" w:hAnsi="Times New Roman" w:cs="Times New Roman"/>
        </w:rPr>
        <w:t>their</w:t>
      </w:r>
      <w:r w:rsidRPr="00846FE1">
        <w:rPr>
          <w:rFonts w:ascii="Times New Roman" w:hAnsi="Times New Roman" w:cs="Times New Roman"/>
        </w:rPr>
        <w:t xml:space="preserve"> associated laboratory course</w:t>
      </w:r>
      <w:r w:rsidR="00B37869" w:rsidRPr="00846FE1">
        <w:rPr>
          <w:rFonts w:ascii="Times New Roman" w:hAnsi="Times New Roman" w:cs="Times New Roman"/>
        </w:rPr>
        <w:t>s</w:t>
      </w:r>
      <w:r w:rsidRPr="00846FE1">
        <w:rPr>
          <w:rFonts w:ascii="Times New Roman" w:hAnsi="Times New Roman" w:cs="Times New Roman"/>
        </w:rPr>
        <w:t xml:space="preserve"> PH2112</w:t>
      </w:r>
      <w:r w:rsidR="00B37869" w:rsidRPr="00846FE1">
        <w:rPr>
          <w:rFonts w:ascii="Times New Roman" w:hAnsi="Times New Roman" w:cs="Times New Roman"/>
        </w:rPr>
        <w:t xml:space="preserve"> and PH2212</w:t>
      </w:r>
      <w:r w:rsidRPr="00846FE1">
        <w:rPr>
          <w:rFonts w:ascii="Times New Roman" w:hAnsi="Times New Roman" w:cs="Times New Roman"/>
        </w:rPr>
        <w:t xml:space="preserve">, are </w:t>
      </w:r>
      <w:r w:rsidR="00B37869" w:rsidRPr="00846FE1">
        <w:rPr>
          <w:rFonts w:ascii="Times New Roman" w:hAnsi="Times New Roman" w:cs="Times New Roman"/>
        </w:rPr>
        <w:t>studies</w:t>
      </w:r>
      <w:r w:rsidRPr="00846FE1">
        <w:rPr>
          <w:rFonts w:ascii="Times New Roman" w:hAnsi="Times New Roman" w:cs="Times New Roman"/>
        </w:rPr>
        <w:t xml:space="preserve"> of the mechanics of solids, liquids, and gases; and of heat and sound</w:t>
      </w:r>
      <w:r w:rsidR="00676B97" w:rsidRPr="00846FE1">
        <w:rPr>
          <w:rFonts w:ascii="Times New Roman" w:hAnsi="Times New Roman" w:cs="Times New Roman"/>
        </w:rPr>
        <w:t>, and electricity, magnetism, and light</w:t>
      </w:r>
      <w:r w:rsidRPr="00846FE1">
        <w:rPr>
          <w:rFonts w:ascii="Times New Roman" w:hAnsi="Times New Roman" w:cs="Times New Roman"/>
        </w:rPr>
        <w:t xml:space="preserve">. General Physics is intended for the student who plans to major in mathematics, the physical sciences, or engineering. </w:t>
      </w:r>
      <w:r w:rsidR="009D4B65" w:rsidRPr="00846FE1">
        <w:rPr>
          <w:rFonts w:ascii="Times New Roman" w:hAnsi="Times New Roman" w:cs="Times New Roman"/>
        </w:rPr>
        <w:t>The prerequisites for General Physics I are a minimum grade of "C" in MT1605 (Calculus I) and a minimum grade of "C" or co-enrolled in MT2105 (Calculus II). Students must co-enroll in both lecture and laboratory courses.</w:t>
      </w:r>
      <w:r w:rsidR="002B7713" w:rsidRPr="00846FE1">
        <w:rPr>
          <w:rFonts w:ascii="Times New Roman" w:hAnsi="Times New Roman" w:cs="Times New Roman"/>
        </w:rPr>
        <w:t xml:space="preserve"> </w:t>
      </w:r>
      <w:r w:rsidR="00F760E8" w:rsidRPr="00846FE1">
        <w:rPr>
          <w:rFonts w:ascii="Times New Roman" w:hAnsi="Times New Roman" w:cs="Times New Roman"/>
        </w:rPr>
        <w:t>The success and withdrawal rates for PH2103 are shown in the graph below for academic years 2010-2012.</w:t>
      </w:r>
    </w:p>
    <w:p w:rsidR="009F2EBF" w:rsidRDefault="00073278" w:rsidP="009F2EBF">
      <w:pPr>
        <w:rPr>
          <w:rFonts w:ascii="Times New Roman" w:hAnsi="Times New Roman" w:cs="Times New Roman"/>
        </w:rPr>
      </w:pPr>
      <w:r w:rsidRPr="00846FE1">
        <w:rPr>
          <w:rFonts w:ascii="Times New Roman" w:hAnsi="Times New Roman" w:cs="Times New Roman"/>
        </w:rPr>
        <w:t>Of the 69 students who enrolled in PH2103 between 2010 and 2012, the success rate was 84.1% (defined as a grade of A, B, or C), compared to a withdrawal rate of 13%.</w:t>
      </w:r>
      <w:r w:rsidR="009F2EBF">
        <w:rPr>
          <w:rFonts w:ascii="Times New Roman" w:hAnsi="Times New Roman" w:cs="Times New Roman"/>
        </w:rPr>
        <w:t xml:space="preserve"> It </w:t>
      </w:r>
      <w:r w:rsidR="009F2EBF" w:rsidRPr="00846FE1">
        <w:rPr>
          <w:rFonts w:ascii="Times New Roman" w:hAnsi="Times New Roman" w:cs="Times New Roman"/>
        </w:rPr>
        <w:t xml:space="preserve">may be useful to analyze degree completion rates compared to success in PH2103, as well as the success rate in PH2203 compared to the students’ respective grades in PH2103. </w:t>
      </w:r>
    </w:p>
    <w:p w:rsidR="008516A2" w:rsidRPr="00846FE1" w:rsidRDefault="008516A2" w:rsidP="009F2EBF">
      <w:pPr>
        <w:rPr>
          <w:rFonts w:ascii="Times New Roman" w:hAnsi="Times New Roman" w:cs="Times New Roman"/>
        </w:rPr>
      </w:pPr>
    </w:p>
    <w:tbl>
      <w:tblPr>
        <w:tblpPr w:leftFromText="180" w:rightFromText="180" w:vertAnchor="text" w:horzAnchor="margin" w:tblpXSpec="right" w:tblpY="554"/>
        <w:tblW w:w="23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6"/>
        <w:gridCol w:w="1372"/>
      </w:tblGrid>
      <w:tr w:rsidR="009F2EBF" w:rsidRPr="00846FE1" w:rsidTr="009F2EBF">
        <w:trPr>
          <w:cantSplit/>
          <w:trHeight w:val="300"/>
        </w:trPr>
        <w:tc>
          <w:tcPr>
            <w:tcW w:w="986" w:type="dxa"/>
            <w:shd w:val="clear" w:color="auto" w:fill="auto"/>
            <w:noWrap/>
            <w:vAlign w:val="bottom"/>
            <w:hideMark/>
          </w:tcPr>
          <w:p w:rsidR="009F2EBF" w:rsidRPr="00846FE1" w:rsidRDefault="009F2EBF" w:rsidP="002F377E">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MT160</w:t>
            </w:r>
            <w:r w:rsidR="002F377E">
              <w:rPr>
                <w:rFonts w:ascii="Times New Roman" w:eastAsia="Times New Roman" w:hAnsi="Times New Roman" w:cs="Times New Roman"/>
                <w:color w:val="000000"/>
              </w:rPr>
              <w:t>5</w:t>
            </w:r>
            <w:r w:rsidRPr="00846FE1">
              <w:rPr>
                <w:rFonts w:ascii="Times New Roman" w:eastAsia="Times New Roman" w:hAnsi="Times New Roman" w:cs="Times New Roman"/>
                <w:color w:val="000000"/>
              </w:rPr>
              <w:t xml:space="preserve"> grade</w:t>
            </w:r>
          </w:p>
        </w:tc>
        <w:tc>
          <w:tcPr>
            <w:tcW w:w="1372" w:type="dxa"/>
            <w:shd w:val="clear" w:color="auto" w:fill="auto"/>
            <w:noWrap/>
            <w:vAlign w:val="bottom"/>
            <w:hideMark/>
          </w:tcPr>
          <w:p w:rsidR="009F2EBF" w:rsidRPr="00846FE1" w:rsidRDefault="009F2EBF" w:rsidP="009F2EBF">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PH2103 success rate</w:t>
            </w:r>
          </w:p>
        </w:tc>
      </w:tr>
      <w:tr w:rsidR="009F2EBF" w:rsidRPr="00846FE1" w:rsidTr="009F2EBF">
        <w:trPr>
          <w:cantSplit/>
          <w:trHeight w:val="300"/>
        </w:trPr>
        <w:tc>
          <w:tcPr>
            <w:tcW w:w="986" w:type="dxa"/>
            <w:shd w:val="clear" w:color="auto" w:fill="auto"/>
            <w:noWrap/>
            <w:vAlign w:val="bottom"/>
            <w:hideMark/>
          </w:tcPr>
          <w:p w:rsidR="009F2EBF" w:rsidRPr="00846FE1" w:rsidRDefault="009F2EBF" w:rsidP="009F2EBF">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A</w:t>
            </w:r>
          </w:p>
        </w:tc>
        <w:tc>
          <w:tcPr>
            <w:tcW w:w="1372" w:type="dxa"/>
            <w:shd w:val="clear" w:color="auto" w:fill="auto"/>
            <w:noWrap/>
            <w:vAlign w:val="bottom"/>
            <w:hideMark/>
          </w:tcPr>
          <w:p w:rsidR="009F2EBF" w:rsidRPr="00846FE1" w:rsidRDefault="009F2EBF" w:rsidP="009F2EBF">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96.2%</w:t>
            </w:r>
          </w:p>
        </w:tc>
      </w:tr>
      <w:tr w:rsidR="009F2EBF" w:rsidRPr="00846FE1" w:rsidTr="009F2EBF">
        <w:trPr>
          <w:cantSplit/>
          <w:trHeight w:val="300"/>
        </w:trPr>
        <w:tc>
          <w:tcPr>
            <w:tcW w:w="986" w:type="dxa"/>
            <w:shd w:val="clear" w:color="auto" w:fill="auto"/>
            <w:noWrap/>
            <w:vAlign w:val="bottom"/>
            <w:hideMark/>
          </w:tcPr>
          <w:p w:rsidR="009F2EBF" w:rsidRPr="00846FE1" w:rsidRDefault="009F2EBF" w:rsidP="009F2EBF">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B</w:t>
            </w:r>
          </w:p>
        </w:tc>
        <w:tc>
          <w:tcPr>
            <w:tcW w:w="1372" w:type="dxa"/>
            <w:shd w:val="clear" w:color="auto" w:fill="auto"/>
            <w:noWrap/>
            <w:vAlign w:val="bottom"/>
            <w:hideMark/>
          </w:tcPr>
          <w:p w:rsidR="009F2EBF" w:rsidRPr="00846FE1" w:rsidRDefault="009F2EBF" w:rsidP="009F2EBF">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86.9%</w:t>
            </w:r>
          </w:p>
        </w:tc>
      </w:tr>
      <w:tr w:rsidR="009F2EBF" w:rsidRPr="00846FE1" w:rsidTr="009F2EBF">
        <w:trPr>
          <w:cantSplit/>
          <w:trHeight w:val="300"/>
        </w:trPr>
        <w:tc>
          <w:tcPr>
            <w:tcW w:w="986" w:type="dxa"/>
            <w:shd w:val="clear" w:color="auto" w:fill="auto"/>
            <w:noWrap/>
            <w:vAlign w:val="bottom"/>
            <w:hideMark/>
          </w:tcPr>
          <w:p w:rsidR="009F2EBF" w:rsidRPr="00846FE1" w:rsidRDefault="009F2EBF" w:rsidP="009F2EBF">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C</w:t>
            </w:r>
          </w:p>
        </w:tc>
        <w:tc>
          <w:tcPr>
            <w:tcW w:w="1372" w:type="dxa"/>
            <w:shd w:val="clear" w:color="auto" w:fill="auto"/>
            <w:noWrap/>
            <w:vAlign w:val="bottom"/>
            <w:hideMark/>
          </w:tcPr>
          <w:p w:rsidR="009F2EBF" w:rsidRPr="00846FE1" w:rsidRDefault="009F2EBF" w:rsidP="009F2EBF">
            <w:pPr>
              <w:spacing w:after="0" w:line="240" w:lineRule="auto"/>
              <w:jc w:val="center"/>
              <w:rPr>
                <w:rFonts w:ascii="Times New Roman" w:eastAsia="Times New Roman" w:hAnsi="Times New Roman" w:cs="Times New Roman"/>
                <w:color w:val="000000"/>
              </w:rPr>
            </w:pPr>
            <w:r w:rsidRPr="00846FE1">
              <w:rPr>
                <w:rFonts w:ascii="Times New Roman" w:eastAsia="Times New Roman" w:hAnsi="Times New Roman" w:cs="Times New Roman"/>
                <w:color w:val="000000"/>
              </w:rPr>
              <w:t>70.6%</w:t>
            </w:r>
          </w:p>
        </w:tc>
      </w:tr>
    </w:tbl>
    <w:p w:rsidR="008516A2" w:rsidRDefault="009F2EBF" w:rsidP="008516A2">
      <w:pPr>
        <w:rPr>
          <w:rFonts w:ascii="Times New Roman" w:hAnsi="Times New Roman" w:cs="Times New Roman"/>
        </w:rPr>
      </w:pPr>
      <w:r w:rsidRPr="00846FE1">
        <w:rPr>
          <w:rFonts w:ascii="Times New Roman" w:hAnsi="Times New Roman" w:cs="Times New Roman"/>
          <w:noProof/>
        </w:rPr>
        <w:drawing>
          <wp:anchor distT="0" distB="0" distL="114300" distR="114300" simplePos="0" relativeHeight="251663360" behindDoc="0" locked="0" layoutInCell="1" allowOverlap="1" wp14:anchorId="5827678C" wp14:editId="7ABC59B2">
            <wp:simplePos x="0" y="0"/>
            <wp:positionH relativeFrom="column">
              <wp:posOffset>-79375</wp:posOffset>
            </wp:positionH>
            <wp:positionV relativeFrom="paragraph">
              <wp:posOffset>635</wp:posOffset>
            </wp:positionV>
            <wp:extent cx="3004185" cy="1982470"/>
            <wp:effectExtent l="0" t="0" r="24765" b="1778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780AEA" w:rsidRDefault="00780AEA" w:rsidP="008516A2">
      <w:pPr>
        <w:rPr>
          <w:rFonts w:ascii="Times New Roman" w:hAnsi="Times New Roman" w:cs="Times New Roman"/>
        </w:rPr>
      </w:pPr>
      <w:r w:rsidRPr="00780AEA">
        <w:rPr>
          <w:rFonts w:ascii="Times New Roman" w:hAnsi="Times New Roman" w:cs="Times New Roman"/>
        </w:rPr>
        <w:t xml:space="preserve">The table </w:t>
      </w:r>
      <w:r w:rsidR="00307941">
        <w:rPr>
          <w:rFonts w:ascii="Times New Roman" w:hAnsi="Times New Roman" w:cs="Times New Roman"/>
        </w:rPr>
        <w:t>to the right</w:t>
      </w:r>
      <w:r w:rsidRPr="00780AEA">
        <w:rPr>
          <w:rFonts w:ascii="Times New Roman" w:hAnsi="Times New Roman" w:cs="Times New Roman"/>
        </w:rPr>
        <w:t xml:space="preserve"> shows success rate</w:t>
      </w:r>
      <w:r w:rsidR="009F2EBF">
        <w:rPr>
          <w:rFonts w:ascii="Times New Roman" w:hAnsi="Times New Roman" w:cs="Times New Roman"/>
        </w:rPr>
        <w:t>s</w:t>
      </w:r>
      <w:r w:rsidRPr="00780AEA">
        <w:rPr>
          <w:rFonts w:ascii="Times New Roman" w:hAnsi="Times New Roman" w:cs="Times New Roman"/>
        </w:rPr>
        <w:t xml:space="preserve"> in PH2103 </w:t>
      </w:r>
      <w:r w:rsidR="009F2EBF">
        <w:rPr>
          <w:rFonts w:ascii="Times New Roman" w:hAnsi="Times New Roman" w:cs="Times New Roman"/>
        </w:rPr>
        <w:t>for each MT160</w:t>
      </w:r>
      <w:r w:rsidR="00087BD0">
        <w:rPr>
          <w:rFonts w:ascii="Times New Roman" w:hAnsi="Times New Roman" w:cs="Times New Roman"/>
        </w:rPr>
        <w:t>5</w:t>
      </w:r>
      <w:r w:rsidR="009F2EBF">
        <w:rPr>
          <w:rFonts w:ascii="Times New Roman" w:hAnsi="Times New Roman" w:cs="Times New Roman"/>
        </w:rPr>
        <w:t xml:space="preserve"> grade. A higher gr</w:t>
      </w:r>
      <w:r w:rsidRPr="00780AEA">
        <w:rPr>
          <w:rFonts w:ascii="Times New Roman" w:hAnsi="Times New Roman" w:cs="Times New Roman"/>
        </w:rPr>
        <w:t xml:space="preserve">ade in Calculus I </w:t>
      </w:r>
      <w:r w:rsidR="009F2EBF">
        <w:rPr>
          <w:rFonts w:ascii="Times New Roman" w:hAnsi="Times New Roman" w:cs="Times New Roman"/>
        </w:rPr>
        <w:t xml:space="preserve">relates </w:t>
      </w:r>
      <w:r w:rsidRPr="00780AEA">
        <w:rPr>
          <w:rFonts w:ascii="Times New Roman" w:hAnsi="Times New Roman" w:cs="Times New Roman"/>
        </w:rPr>
        <w:t xml:space="preserve">to a higher </w:t>
      </w:r>
      <w:r w:rsidR="009F2EBF">
        <w:rPr>
          <w:rFonts w:ascii="Times New Roman" w:hAnsi="Times New Roman" w:cs="Times New Roman"/>
        </w:rPr>
        <w:t xml:space="preserve">success in Gen </w:t>
      </w:r>
      <w:proofErr w:type="spellStart"/>
      <w:r w:rsidR="009F2EBF">
        <w:rPr>
          <w:rFonts w:ascii="Times New Roman" w:hAnsi="Times New Roman" w:cs="Times New Roman"/>
        </w:rPr>
        <w:t>Phys</w:t>
      </w:r>
      <w:proofErr w:type="spellEnd"/>
      <w:r w:rsidRPr="00780AEA">
        <w:rPr>
          <w:rFonts w:ascii="Times New Roman" w:hAnsi="Times New Roman" w:cs="Times New Roman"/>
        </w:rPr>
        <w:t xml:space="preserve"> I.</w:t>
      </w:r>
    </w:p>
    <w:p w:rsidR="009F2EBF" w:rsidRDefault="009F2EBF" w:rsidP="00780AEA">
      <w:pPr>
        <w:rPr>
          <w:rFonts w:ascii="Times New Roman" w:hAnsi="Times New Roman" w:cs="Times New Roman"/>
        </w:rPr>
      </w:pPr>
      <w:bookmarkStart w:id="0" w:name="_GoBack"/>
      <w:bookmarkEnd w:id="0"/>
    </w:p>
    <w:p w:rsidR="009F2EBF" w:rsidRDefault="009F2EBF" w:rsidP="00780AEA">
      <w:pPr>
        <w:rPr>
          <w:rFonts w:ascii="Times New Roman" w:hAnsi="Times New Roman" w:cs="Times New Roman"/>
        </w:rPr>
      </w:pPr>
    </w:p>
    <w:p w:rsidR="008516A2" w:rsidRDefault="008516A2" w:rsidP="00780AEA">
      <w:pPr>
        <w:rPr>
          <w:rFonts w:ascii="Times New Roman" w:hAnsi="Times New Roman" w:cs="Times New Roman"/>
        </w:rPr>
      </w:pPr>
    </w:p>
    <w:p w:rsidR="00676B97" w:rsidRPr="00846FE1" w:rsidRDefault="00D73540" w:rsidP="00780AEA">
      <w:pPr>
        <w:rPr>
          <w:rFonts w:ascii="Times New Roman" w:hAnsi="Times New Roman" w:cs="Times New Roman"/>
        </w:rPr>
      </w:pPr>
      <w:r w:rsidRPr="00846FE1">
        <w:rPr>
          <w:rFonts w:ascii="Times New Roman" w:hAnsi="Times New Roman" w:cs="Times New Roman"/>
          <w:noProof/>
        </w:rPr>
        <w:drawing>
          <wp:anchor distT="0" distB="0" distL="114300" distR="114300" simplePos="0" relativeHeight="251665408" behindDoc="0" locked="0" layoutInCell="1" allowOverlap="1" wp14:anchorId="2970AFC8" wp14:editId="63144ABE">
            <wp:simplePos x="0" y="0"/>
            <wp:positionH relativeFrom="column">
              <wp:posOffset>3700145</wp:posOffset>
            </wp:positionH>
            <wp:positionV relativeFrom="paragraph">
              <wp:posOffset>-71120</wp:posOffset>
            </wp:positionV>
            <wp:extent cx="3034665" cy="2059305"/>
            <wp:effectExtent l="0" t="0" r="13335" b="1714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676B97" w:rsidRPr="00846FE1">
        <w:rPr>
          <w:rFonts w:ascii="Times New Roman" w:hAnsi="Times New Roman" w:cs="Times New Roman"/>
        </w:rPr>
        <w:t>The success and withdrawal rates for PH2203 are shown in</w:t>
      </w:r>
      <w:r w:rsidR="009F2EBF">
        <w:rPr>
          <w:rFonts w:ascii="Times New Roman" w:hAnsi="Times New Roman" w:cs="Times New Roman"/>
        </w:rPr>
        <w:t xml:space="preserve"> the graph at right</w:t>
      </w:r>
      <w:r w:rsidR="00676B97" w:rsidRPr="00846FE1">
        <w:rPr>
          <w:rFonts w:ascii="Times New Roman" w:hAnsi="Times New Roman" w:cs="Times New Roman"/>
        </w:rPr>
        <w:t xml:space="preserve"> for academic years 2010-2012.</w:t>
      </w:r>
    </w:p>
    <w:p w:rsidR="00676B97" w:rsidRPr="00846FE1" w:rsidRDefault="00676B97" w:rsidP="00676B97">
      <w:pPr>
        <w:rPr>
          <w:rFonts w:ascii="Times New Roman" w:hAnsi="Times New Roman" w:cs="Times New Roman"/>
        </w:rPr>
      </w:pPr>
      <w:r w:rsidRPr="00846FE1">
        <w:rPr>
          <w:rFonts w:ascii="Times New Roman" w:hAnsi="Times New Roman" w:cs="Times New Roman"/>
        </w:rPr>
        <w:t xml:space="preserve">Of the </w:t>
      </w:r>
      <w:r w:rsidR="00A854B3">
        <w:rPr>
          <w:rFonts w:ascii="Times New Roman" w:hAnsi="Times New Roman" w:cs="Times New Roman"/>
        </w:rPr>
        <w:t>55</w:t>
      </w:r>
      <w:r w:rsidRPr="00846FE1">
        <w:rPr>
          <w:rFonts w:ascii="Times New Roman" w:hAnsi="Times New Roman" w:cs="Times New Roman"/>
        </w:rPr>
        <w:t xml:space="preserve"> students who enrolled in PH2203 between 2010 and 2012, the success rate was </w:t>
      </w:r>
      <w:r w:rsidR="00A854B3">
        <w:rPr>
          <w:rFonts w:ascii="Times New Roman" w:hAnsi="Times New Roman" w:cs="Times New Roman"/>
        </w:rPr>
        <w:t>76.4</w:t>
      </w:r>
      <w:r w:rsidRPr="00846FE1">
        <w:rPr>
          <w:rFonts w:ascii="Times New Roman" w:hAnsi="Times New Roman" w:cs="Times New Roman"/>
        </w:rPr>
        <w:t xml:space="preserve">% (defined as a grade of A, B, or C), compared to a withdrawal rate of </w:t>
      </w:r>
      <w:r w:rsidR="00A854B3">
        <w:rPr>
          <w:rFonts w:ascii="Times New Roman" w:hAnsi="Times New Roman" w:cs="Times New Roman"/>
        </w:rPr>
        <w:t>15</w:t>
      </w:r>
      <w:r w:rsidRPr="00846FE1">
        <w:rPr>
          <w:rFonts w:ascii="Times New Roman" w:hAnsi="Times New Roman" w:cs="Times New Roman"/>
        </w:rPr>
        <w:t>%.</w:t>
      </w:r>
    </w:p>
    <w:p w:rsidR="00EE4BC8" w:rsidRDefault="00676B97" w:rsidP="008A4B4C">
      <w:pPr>
        <w:rPr>
          <w:rFonts w:ascii="Times New Roman" w:hAnsi="Times New Roman" w:cs="Times New Roman"/>
        </w:rPr>
      </w:pPr>
      <w:r w:rsidRPr="00846FE1">
        <w:rPr>
          <w:rFonts w:ascii="Times New Roman" w:hAnsi="Times New Roman" w:cs="Times New Roman"/>
        </w:rPr>
        <w:t xml:space="preserve">PH2203 is a prerequisite for certain engineering courses such as EG2303 (Intro Circuit Theory), as well as being </w:t>
      </w:r>
      <w:r w:rsidR="009F2EBF">
        <w:rPr>
          <w:rFonts w:ascii="Times New Roman" w:hAnsi="Times New Roman" w:cs="Times New Roman"/>
        </w:rPr>
        <w:t>a degree requirement for several</w:t>
      </w:r>
      <w:r w:rsidRPr="00846FE1">
        <w:rPr>
          <w:rFonts w:ascii="Times New Roman" w:hAnsi="Times New Roman" w:cs="Times New Roman"/>
        </w:rPr>
        <w:t xml:space="preserve"> degree programs. In the future, it may be useful to analyze degree completion rates compared to success in both PH2103 and PH2203, as well as the success rate in PH2203 compared to the students’ respective grades in PH2103</w:t>
      </w:r>
      <w:r w:rsidR="009F2EBF">
        <w:rPr>
          <w:rFonts w:ascii="Times New Roman" w:hAnsi="Times New Roman" w:cs="Times New Roman"/>
        </w:rPr>
        <w:t>.</w:t>
      </w:r>
    </w:p>
    <w:p w:rsidR="00D73540" w:rsidRPr="00D73540" w:rsidRDefault="00D73540" w:rsidP="00D73540">
      <w:pPr>
        <w:pStyle w:val="Heading2"/>
        <w:rPr>
          <w:rFonts w:ascii="Times New Roman" w:hAnsi="Times New Roman" w:cs="Times New Roman"/>
          <w:sz w:val="28"/>
          <w:szCs w:val="28"/>
        </w:rPr>
      </w:pPr>
      <w:r w:rsidRPr="00D73540">
        <w:rPr>
          <w:rFonts w:ascii="Times New Roman" w:hAnsi="Times New Roman" w:cs="Times New Roman"/>
          <w:sz w:val="28"/>
          <w:szCs w:val="28"/>
        </w:rPr>
        <w:t xml:space="preserve">Assessment Plan: PH1703/1803 </w:t>
      </w:r>
    </w:p>
    <w:p w:rsidR="00A854B3" w:rsidRPr="00D73540" w:rsidRDefault="00A854B3" w:rsidP="00A854B3">
      <w:pPr>
        <w:jc w:val="both"/>
        <w:rPr>
          <w:rFonts w:ascii="Times New Roman" w:hAnsi="Times New Roman"/>
        </w:rPr>
      </w:pPr>
      <w:r w:rsidRPr="00D73540">
        <w:rPr>
          <w:rFonts w:ascii="Times New Roman" w:hAnsi="Times New Roman"/>
        </w:rPr>
        <w:t>In light of the data, the department has set the following goals for the academic year 2013 – 2014:</w:t>
      </w:r>
    </w:p>
    <w:p w:rsidR="00A854B3" w:rsidRDefault="00A854B3" w:rsidP="00A854B3">
      <w:pPr>
        <w:pStyle w:val="ListParagraph"/>
        <w:numPr>
          <w:ilvl w:val="0"/>
          <w:numId w:val="6"/>
        </w:numPr>
        <w:rPr>
          <w:rFonts w:ascii="Times New Roman" w:hAnsi="Times New Roman"/>
        </w:rPr>
      </w:pPr>
      <w:r>
        <w:rPr>
          <w:rFonts w:ascii="Times New Roman" w:hAnsi="Times New Roman"/>
        </w:rPr>
        <w:t xml:space="preserve">Explore ways to increase collaboration to foster greater success through a possible </w:t>
      </w:r>
      <w:r w:rsidRPr="00D73540">
        <w:rPr>
          <w:rFonts w:ascii="Times New Roman" w:hAnsi="Times New Roman"/>
        </w:rPr>
        <w:t xml:space="preserve">engineering learning community </w:t>
      </w:r>
      <w:r>
        <w:rPr>
          <w:rFonts w:ascii="Times New Roman" w:hAnsi="Times New Roman"/>
        </w:rPr>
        <w:t xml:space="preserve">or required study sessions </w:t>
      </w:r>
      <w:r w:rsidRPr="00D73540">
        <w:rPr>
          <w:rFonts w:ascii="Times New Roman" w:hAnsi="Times New Roman"/>
        </w:rPr>
        <w:t xml:space="preserve">beginning </w:t>
      </w:r>
      <w:proofErr w:type="gramStart"/>
      <w:r w:rsidRPr="00D73540">
        <w:rPr>
          <w:rFonts w:ascii="Times New Roman" w:hAnsi="Times New Roman"/>
        </w:rPr>
        <w:t>Spring</w:t>
      </w:r>
      <w:proofErr w:type="gramEnd"/>
      <w:r w:rsidRPr="00D73540">
        <w:rPr>
          <w:rFonts w:ascii="Times New Roman" w:hAnsi="Times New Roman"/>
        </w:rPr>
        <w:t xml:space="preserve"> 2014.  This would be assessed throug</w:t>
      </w:r>
      <w:r>
        <w:rPr>
          <w:rFonts w:ascii="Times New Roman" w:hAnsi="Times New Roman"/>
        </w:rPr>
        <w:t>h attendance and success in class.</w:t>
      </w:r>
    </w:p>
    <w:p w:rsidR="00A854B3" w:rsidRDefault="00A854B3" w:rsidP="00A854B3">
      <w:pPr>
        <w:pStyle w:val="ListParagraph"/>
        <w:numPr>
          <w:ilvl w:val="0"/>
          <w:numId w:val="6"/>
        </w:numPr>
        <w:rPr>
          <w:rFonts w:ascii="Times New Roman" w:hAnsi="Times New Roman"/>
        </w:rPr>
      </w:pPr>
      <w:r w:rsidRPr="00D73540">
        <w:rPr>
          <w:rFonts w:ascii="Times New Roman" w:hAnsi="Times New Roman"/>
        </w:rPr>
        <w:t xml:space="preserve">Collect data from the comprehensive weekly Moodle quizzes showing student's understanding of the materials. Use this in combination with the pre/post test data to determine which material needs more attention.  The </w:t>
      </w:r>
      <w:r w:rsidR="00392B5C">
        <w:rPr>
          <w:rFonts w:ascii="Times New Roman" w:hAnsi="Times New Roman"/>
        </w:rPr>
        <w:t>M</w:t>
      </w:r>
      <w:r w:rsidRPr="00D73540">
        <w:rPr>
          <w:rFonts w:ascii="Times New Roman" w:hAnsi="Times New Roman"/>
        </w:rPr>
        <w:t xml:space="preserve">oodle data can be collected by Dec 2013.  This will allow for syllabi changes in </w:t>
      </w:r>
      <w:proofErr w:type="gramStart"/>
      <w:r w:rsidRPr="00D73540">
        <w:rPr>
          <w:rFonts w:ascii="Times New Roman" w:hAnsi="Times New Roman"/>
        </w:rPr>
        <w:t>Spring</w:t>
      </w:r>
      <w:proofErr w:type="gramEnd"/>
      <w:r w:rsidRPr="00D73540">
        <w:rPr>
          <w:rFonts w:ascii="Times New Roman" w:hAnsi="Times New Roman"/>
        </w:rPr>
        <w:t xml:space="preserve"> 2014.</w:t>
      </w:r>
    </w:p>
    <w:p w:rsidR="00A854B3" w:rsidRPr="008516A2" w:rsidRDefault="00A854B3" w:rsidP="00A854B3">
      <w:pPr>
        <w:pStyle w:val="ListParagraph"/>
        <w:numPr>
          <w:ilvl w:val="0"/>
          <w:numId w:val="6"/>
        </w:numPr>
        <w:jc w:val="both"/>
        <w:rPr>
          <w:rFonts w:ascii="Times New Roman" w:hAnsi="Times New Roman"/>
        </w:rPr>
      </w:pPr>
      <w:r w:rsidRPr="008516A2">
        <w:rPr>
          <w:rFonts w:ascii="Times New Roman" w:hAnsi="Times New Roman"/>
        </w:rPr>
        <w:t xml:space="preserve">The design projects will be modified to become a whole semester project rather than the last few weeks.  Students will be expected to go through a greater planning phase to replicate a more typical engineering environment. This was addressed in the Transfer Engineering Advisory Committee meeting as a much needed skill. Modifications to the design projects can begin in the </w:t>
      </w:r>
      <w:proofErr w:type="gramStart"/>
      <w:r w:rsidRPr="008516A2">
        <w:rPr>
          <w:rFonts w:ascii="Times New Roman" w:hAnsi="Times New Roman"/>
        </w:rPr>
        <w:t>Fall</w:t>
      </w:r>
      <w:proofErr w:type="gramEnd"/>
      <w:r w:rsidRPr="008516A2">
        <w:rPr>
          <w:rFonts w:ascii="Times New Roman" w:hAnsi="Times New Roman"/>
        </w:rPr>
        <w:t xml:space="preserve"> 2013 semester.  The final assessment of the projects will need to reflect these changes.</w:t>
      </w:r>
    </w:p>
    <w:p w:rsidR="00D73540" w:rsidRDefault="00D73540" w:rsidP="008A4B4C">
      <w:pPr>
        <w:rPr>
          <w:rFonts w:ascii="Times New Roman" w:hAnsi="Times New Roman" w:cs="Times New Roman"/>
        </w:rPr>
      </w:pPr>
    </w:p>
    <w:sectPr w:rsidR="00D73540" w:rsidSect="008A4B4C">
      <w:headerReference w:type="defaul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5F" w:rsidRDefault="0051245F" w:rsidP="008A4B4C">
      <w:pPr>
        <w:spacing w:after="0" w:line="240" w:lineRule="auto"/>
      </w:pPr>
      <w:r>
        <w:separator/>
      </w:r>
    </w:p>
  </w:endnote>
  <w:endnote w:type="continuationSeparator" w:id="0">
    <w:p w:rsidR="0051245F" w:rsidRDefault="0051245F" w:rsidP="008A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5F" w:rsidRDefault="0051245F" w:rsidP="008A4B4C">
      <w:pPr>
        <w:spacing w:after="0" w:line="240" w:lineRule="auto"/>
      </w:pPr>
      <w:r>
        <w:separator/>
      </w:r>
    </w:p>
  </w:footnote>
  <w:footnote w:type="continuationSeparator" w:id="0">
    <w:p w:rsidR="0051245F" w:rsidRDefault="0051245F" w:rsidP="008A4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46" w:rsidRPr="00AB7D46" w:rsidRDefault="0051245F" w:rsidP="00AB7D46">
    <w:pPr>
      <w:pStyle w:val="Header"/>
      <w:jc w:val="center"/>
      <w:rPr>
        <w:sz w:val="36"/>
        <w:szCs w:val="36"/>
      </w:rPr>
    </w:pPr>
  </w:p>
  <w:p w:rsidR="00AB7D46" w:rsidRDefault="00512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7BF"/>
    <w:multiLevelType w:val="hybridMultilevel"/>
    <w:tmpl w:val="4FA24C4E"/>
    <w:lvl w:ilvl="0" w:tplc="D8105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C00F9"/>
    <w:multiLevelType w:val="hybridMultilevel"/>
    <w:tmpl w:val="DECA97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2448E6"/>
    <w:multiLevelType w:val="hybridMultilevel"/>
    <w:tmpl w:val="A2A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8443A"/>
    <w:multiLevelType w:val="hybridMultilevel"/>
    <w:tmpl w:val="242E458C"/>
    <w:lvl w:ilvl="0" w:tplc="7CE032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649D7"/>
    <w:multiLevelType w:val="hybridMultilevel"/>
    <w:tmpl w:val="134E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91FF1"/>
    <w:multiLevelType w:val="hybridMultilevel"/>
    <w:tmpl w:val="6974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50"/>
    <w:rsid w:val="00073278"/>
    <w:rsid w:val="00087BD0"/>
    <w:rsid w:val="000A6B63"/>
    <w:rsid w:val="000B066F"/>
    <w:rsid w:val="000B09C0"/>
    <w:rsid w:val="000E20E1"/>
    <w:rsid w:val="000F2C7A"/>
    <w:rsid w:val="000F5C89"/>
    <w:rsid w:val="001D182A"/>
    <w:rsid w:val="00252443"/>
    <w:rsid w:val="002B071A"/>
    <w:rsid w:val="002B7713"/>
    <w:rsid w:val="002C2A31"/>
    <w:rsid w:val="002C5FAE"/>
    <w:rsid w:val="002E37B9"/>
    <w:rsid w:val="002F377E"/>
    <w:rsid w:val="00301D59"/>
    <w:rsid w:val="00307941"/>
    <w:rsid w:val="00357A8C"/>
    <w:rsid w:val="00392B5C"/>
    <w:rsid w:val="003934DE"/>
    <w:rsid w:val="003B7018"/>
    <w:rsid w:val="003C63C2"/>
    <w:rsid w:val="00474C92"/>
    <w:rsid w:val="00482EE0"/>
    <w:rsid w:val="004B199B"/>
    <w:rsid w:val="004B7AB2"/>
    <w:rsid w:val="004D0B4E"/>
    <w:rsid w:val="004F1DD1"/>
    <w:rsid w:val="0051245F"/>
    <w:rsid w:val="00517187"/>
    <w:rsid w:val="0053145E"/>
    <w:rsid w:val="005915EA"/>
    <w:rsid w:val="005C4FD8"/>
    <w:rsid w:val="005C7C20"/>
    <w:rsid w:val="005D5750"/>
    <w:rsid w:val="005D74BD"/>
    <w:rsid w:val="00600B75"/>
    <w:rsid w:val="00657927"/>
    <w:rsid w:val="00676B97"/>
    <w:rsid w:val="00692954"/>
    <w:rsid w:val="00696910"/>
    <w:rsid w:val="006E09B7"/>
    <w:rsid w:val="00733A82"/>
    <w:rsid w:val="00761C6D"/>
    <w:rsid w:val="00780AEA"/>
    <w:rsid w:val="007A6DDE"/>
    <w:rsid w:val="007B24FF"/>
    <w:rsid w:val="007D0E21"/>
    <w:rsid w:val="007D6AA7"/>
    <w:rsid w:val="008135F0"/>
    <w:rsid w:val="00816669"/>
    <w:rsid w:val="008203B9"/>
    <w:rsid w:val="00846FE1"/>
    <w:rsid w:val="008516A2"/>
    <w:rsid w:val="008A4B4C"/>
    <w:rsid w:val="008A7A4C"/>
    <w:rsid w:val="008D2A5C"/>
    <w:rsid w:val="0094087F"/>
    <w:rsid w:val="00950AE7"/>
    <w:rsid w:val="00960439"/>
    <w:rsid w:val="00961AAB"/>
    <w:rsid w:val="00991E35"/>
    <w:rsid w:val="009A0B72"/>
    <w:rsid w:val="009A79C2"/>
    <w:rsid w:val="009B14C3"/>
    <w:rsid w:val="009D4B65"/>
    <w:rsid w:val="009E0A44"/>
    <w:rsid w:val="009E65DE"/>
    <w:rsid w:val="009F2CA1"/>
    <w:rsid w:val="009F2EBF"/>
    <w:rsid w:val="00A073CC"/>
    <w:rsid w:val="00A10466"/>
    <w:rsid w:val="00A31A1D"/>
    <w:rsid w:val="00A6204F"/>
    <w:rsid w:val="00A6524C"/>
    <w:rsid w:val="00A854B3"/>
    <w:rsid w:val="00A85C0C"/>
    <w:rsid w:val="00A92D4C"/>
    <w:rsid w:val="00A94DA2"/>
    <w:rsid w:val="00AB4C7E"/>
    <w:rsid w:val="00AD17CB"/>
    <w:rsid w:val="00AE30E5"/>
    <w:rsid w:val="00AF5C73"/>
    <w:rsid w:val="00B146AF"/>
    <w:rsid w:val="00B37869"/>
    <w:rsid w:val="00B64BB0"/>
    <w:rsid w:val="00B8411F"/>
    <w:rsid w:val="00BA52CA"/>
    <w:rsid w:val="00BE0C93"/>
    <w:rsid w:val="00C23435"/>
    <w:rsid w:val="00CA1616"/>
    <w:rsid w:val="00CA7B47"/>
    <w:rsid w:val="00D24891"/>
    <w:rsid w:val="00D6343C"/>
    <w:rsid w:val="00D72825"/>
    <w:rsid w:val="00D73540"/>
    <w:rsid w:val="00D7462D"/>
    <w:rsid w:val="00DD4664"/>
    <w:rsid w:val="00DD6CBA"/>
    <w:rsid w:val="00DE7E4A"/>
    <w:rsid w:val="00E33759"/>
    <w:rsid w:val="00E6774A"/>
    <w:rsid w:val="00EA28D8"/>
    <w:rsid w:val="00EB3780"/>
    <w:rsid w:val="00ED08A3"/>
    <w:rsid w:val="00EE271C"/>
    <w:rsid w:val="00EE4BC8"/>
    <w:rsid w:val="00EE73FB"/>
    <w:rsid w:val="00F108E8"/>
    <w:rsid w:val="00F46FEE"/>
    <w:rsid w:val="00F608C6"/>
    <w:rsid w:val="00F760E8"/>
    <w:rsid w:val="00FA4761"/>
    <w:rsid w:val="00FB603E"/>
    <w:rsid w:val="00FE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603E"/>
    <w:pPr>
      <w:keepNext/>
      <w:keepLines/>
      <w:pBdr>
        <w:bottom w:val="single" w:sz="4" w:space="1" w:color="auto"/>
      </w:pBdr>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4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A4B4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B4C"/>
    <w:rPr>
      <w:color w:val="0000FF" w:themeColor="hyperlink"/>
      <w:u w:val="single"/>
    </w:rPr>
  </w:style>
  <w:style w:type="paragraph" w:styleId="BalloonText">
    <w:name w:val="Balloon Text"/>
    <w:basedOn w:val="Normal"/>
    <w:link w:val="BalloonTextChar"/>
    <w:uiPriority w:val="99"/>
    <w:semiHidden/>
    <w:unhideWhenUsed/>
    <w:rsid w:val="008A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4C"/>
    <w:rPr>
      <w:rFonts w:ascii="Tahoma" w:hAnsi="Tahoma" w:cs="Tahoma"/>
      <w:sz w:val="16"/>
      <w:szCs w:val="16"/>
    </w:rPr>
  </w:style>
  <w:style w:type="paragraph" w:styleId="Footer">
    <w:name w:val="footer"/>
    <w:basedOn w:val="Normal"/>
    <w:link w:val="FooterChar"/>
    <w:uiPriority w:val="99"/>
    <w:unhideWhenUsed/>
    <w:rsid w:val="008A4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B4C"/>
  </w:style>
  <w:style w:type="paragraph" w:styleId="Title">
    <w:name w:val="Title"/>
    <w:basedOn w:val="Normal"/>
    <w:next w:val="Normal"/>
    <w:link w:val="TitleChar"/>
    <w:uiPriority w:val="10"/>
    <w:qFormat/>
    <w:rsid w:val="00FB603E"/>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0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2825"/>
    <w:pPr>
      <w:ind w:left="720"/>
      <w:contextualSpacing/>
    </w:pPr>
  </w:style>
  <w:style w:type="character" w:customStyle="1" w:styleId="Heading2Char">
    <w:name w:val="Heading 2 Char"/>
    <w:basedOn w:val="DefaultParagraphFont"/>
    <w:link w:val="Heading2"/>
    <w:uiPriority w:val="9"/>
    <w:rsid w:val="00FB603E"/>
    <w:rPr>
      <w:rFonts w:asciiTheme="majorHAnsi" w:eastAsiaTheme="majorEastAsia" w:hAnsiTheme="majorHAnsi" w:cstheme="majorBidi"/>
      <w:b/>
      <w:bCs/>
      <w:color w:val="000000" w:themeColor="tex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603E"/>
    <w:pPr>
      <w:keepNext/>
      <w:keepLines/>
      <w:pBdr>
        <w:bottom w:val="single" w:sz="4" w:space="1" w:color="auto"/>
      </w:pBdr>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4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A4B4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B4C"/>
    <w:rPr>
      <w:color w:val="0000FF" w:themeColor="hyperlink"/>
      <w:u w:val="single"/>
    </w:rPr>
  </w:style>
  <w:style w:type="paragraph" w:styleId="BalloonText">
    <w:name w:val="Balloon Text"/>
    <w:basedOn w:val="Normal"/>
    <w:link w:val="BalloonTextChar"/>
    <w:uiPriority w:val="99"/>
    <w:semiHidden/>
    <w:unhideWhenUsed/>
    <w:rsid w:val="008A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4C"/>
    <w:rPr>
      <w:rFonts w:ascii="Tahoma" w:hAnsi="Tahoma" w:cs="Tahoma"/>
      <w:sz w:val="16"/>
      <w:szCs w:val="16"/>
    </w:rPr>
  </w:style>
  <w:style w:type="paragraph" w:styleId="Footer">
    <w:name w:val="footer"/>
    <w:basedOn w:val="Normal"/>
    <w:link w:val="FooterChar"/>
    <w:uiPriority w:val="99"/>
    <w:unhideWhenUsed/>
    <w:rsid w:val="008A4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B4C"/>
  </w:style>
  <w:style w:type="paragraph" w:styleId="Title">
    <w:name w:val="Title"/>
    <w:basedOn w:val="Normal"/>
    <w:next w:val="Normal"/>
    <w:link w:val="TitleChar"/>
    <w:uiPriority w:val="10"/>
    <w:qFormat/>
    <w:rsid w:val="00FB603E"/>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0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2825"/>
    <w:pPr>
      <w:ind w:left="720"/>
      <w:contextualSpacing/>
    </w:pPr>
  </w:style>
  <w:style w:type="character" w:customStyle="1" w:styleId="Heading2Char">
    <w:name w:val="Heading 2 Char"/>
    <w:basedOn w:val="DefaultParagraphFont"/>
    <w:link w:val="Heading2"/>
    <w:uiPriority w:val="9"/>
    <w:rsid w:val="00FB603E"/>
    <w:rPr>
      <w:rFonts w:asciiTheme="majorHAnsi" w:eastAsiaTheme="majorEastAsia" w:hAnsiTheme="majorHAnsi" w:cstheme="majorBidi"/>
      <w:b/>
      <w:b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27479">
      <w:bodyDiv w:val="1"/>
      <w:marLeft w:val="0"/>
      <w:marRight w:val="0"/>
      <w:marTop w:val="0"/>
      <w:marBottom w:val="0"/>
      <w:divBdr>
        <w:top w:val="none" w:sz="0" w:space="0" w:color="auto"/>
        <w:left w:val="none" w:sz="0" w:space="0" w:color="auto"/>
        <w:bottom w:val="none" w:sz="0" w:space="0" w:color="auto"/>
        <w:right w:val="none" w:sz="0" w:space="0" w:color="auto"/>
      </w:divBdr>
    </w:div>
    <w:div w:id="496656853">
      <w:bodyDiv w:val="1"/>
      <w:marLeft w:val="0"/>
      <w:marRight w:val="0"/>
      <w:marTop w:val="0"/>
      <w:marBottom w:val="0"/>
      <w:divBdr>
        <w:top w:val="none" w:sz="0" w:space="0" w:color="auto"/>
        <w:left w:val="none" w:sz="0" w:space="0" w:color="auto"/>
        <w:bottom w:val="none" w:sz="0" w:space="0" w:color="auto"/>
        <w:right w:val="none" w:sz="0" w:space="0" w:color="auto"/>
      </w:divBdr>
    </w:div>
    <w:div w:id="1228421974">
      <w:bodyDiv w:val="1"/>
      <w:marLeft w:val="0"/>
      <w:marRight w:val="0"/>
      <w:marTop w:val="0"/>
      <w:marBottom w:val="0"/>
      <w:divBdr>
        <w:top w:val="none" w:sz="0" w:space="0" w:color="auto"/>
        <w:left w:val="none" w:sz="0" w:space="0" w:color="auto"/>
        <w:bottom w:val="none" w:sz="0" w:space="0" w:color="auto"/>
        <w:right w:val="none" w:sz="0" w:space="0" w:color="auto"/>
      </w:divBdr>
    </w:div>
    <w:div w:id="15626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Kellogg\Desktop\ECC\Assessment\Assessment%20Physics%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20Kellogg\Desktop\ECC\Assessment\Assessment%20Physics%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20Kellogg\Desktop\ECC\Assessment\Assessment%20Physics%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20Kellogg\Desktop\ECC\Assessment\Assessment%20Physics%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20Kellogg\Desktop\ECC\Assessment\Assessment%20Physics%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20Kellogg\Desktop\ECC\Assessment\Assessment%20Physics%20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r.%20Kellogg\Desktop\ECC\Assessment\Assessment%20Physics%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100">
                <a:latin typeface="Times New Roman" pitchFamily="18" charset="0"/>
                <a:cs typeface="Times New Roman" pitchFamily="18" charset="0"/>
              </a:rPr>
              <a:t>PH1703</a:t>
            </a:r>
            <a:r>
              <a:rPr lang="en-US" sz="1100" baseline="0">
                <a:latin typeface="Times New Roman" pitchFamily="18" charset="0"/>
                <a:cs typeface="Times New Roman" pitchFamily="18" charset="0"/>
              </a:rPr>
              <a:t> Grades for Pre-Calc B</a:t>
            </a:r>
            <a:endParaRPr lang="en-US" sz="1100">
              <a:latin typeface="Times New Roman" pitchFamily="18" charset="0"/>
              <a:cs typeface="Times New Roman" pitchFamily="18" charset="0"/>
            </a:endParaRPr>
          </a:p>
        </c:rich>
      </c:tx>
      <c:layout>
        <c:manualLayout>
          <c:xMode val="edge"/>
          <c:yMode val="edge"/>
          <c:x val="4.4676098287416231E-3"/>
          <c:y val="5.1975051975051978E-2"/>
        </c:manualLayout>
      </c:layout>
      <c:overlay val="0"/>
    </c:title>
    <c:autoTitleDeleted val="0"/>
    <c:plotArea>
      <c:layout/>
      <c:pieChart>
        <c:varyColors val="1"/>
        <c:ser>
          <c:idx val="0"/>
          <c:order val="0"/>
          <c:tx>
            <c:strRef>
              <c:f>'MT1505 &amp; PH1703'!$A$6</c:f>
              <c:strCache>
                <c:ptCount val="1"/>
                <c:pt idx="0">
                  <c:v>B</c:v>
                </c:pt>
              </c:strCache>
            </c:strRef>
          </c:tx>
          <c:dPt>
            <c:idx val="0"/>
            <c:bubble3D val="0"/>
            <c:spPr>
              <a:solidFill>
                <a:srgbClr val="00CC00"/>
              </a:solidFill>
            </c:spPr>
          </c:dPt>
          <c:dPt>
            <c:idx val="1"/>
            <c:bubble3D val="0"/>
            <c:spPr>
              <a:solidFill>
                <a:srgbClr val="3333FF"/>
              </a:solidFill>
            </c:spPr>
          </c:dPt>
          <c:dPt>
            <c:idx val="2"/>
            <c:bubble3D val="0"/>
            <c:spPr>
              <a:solidFill>
                <a:srgbClr val="9933FF"/>
              </a:solidFill>
            </c:spPr>
          </c:dPt>
          <c:dPt>
            <c:idx val="3"/>
            <c:bubble3D val="0"/>
            <c:spPr>
              <a:solidFill>
                <a:srgbClr val="FF9900"/>
              </a:solidFill>
            </c:spPr>
          </c:dPt>
          <c:dPt>
            <c:idx val="4"/>
            <c:bubble3D val="0"/>
            <c:spPr>
              <a:solidFill>
                <a:srgbClr val="FF0000"/>
              </a:solidFill>
            </c:spPr>
          </c:dPt>
          <c:dPt>
            <c:idx val="5"/>
            <c:bubble3D val="0"/>
            <c:spPr>
              <a:solidFill>
                <a:schemeClr val="tx1"/>
              </a:solidFill>
            </c:spPr>
          </c:dPt>
          <c:dLbls>
            <c:dLbl>
              <c:idx val="2"/>
              <c:layout>
                <c:manualLayout>
                  <c:x val="9.8708924432462639E-2"/>
                  <c:y val="0.10778088222843113"/>
                </c:manualLayout>
              </c:layout>
              <c:dLblPos val="bestFit"/>
              <c:showLegendKey val="0"/>
              <c:showVal val="0"/>
              <c:showCatName val="1"/>
              <c:showSerName val="0"/>
              <c:showPercent val="0"/>
              <c:showBubbleSize val="0"/>
            </c:dLbl>
            <c:dLbl>
              <c:idx val="5"/>
              <c:layout>
                <c:manualLayout>
                  <c:x val="1.0238171106169253E-2"/>
                  <c:y val="2.7759186351706017E-2"/>
                </c:manualLayout>
              </c:layout>
              <c:dLblPos val="bestFit"/>
              <c:showLegendKey val="0"/>
              <c:showVal val="0"/>
              <c:showCatName val="1"/>
              <c:showSerName val="0"/>
              <c:showPercent val="0"/>
              <c:showBubbleSize val="0"/>
            </c:dLbl>
            <c:txPr>
              <a:bodyPr/>
              <a:lstStyle/>
              <a:p>
                <a:pPr>
                  <a:defRPr sz="1000" b="1">
                    <a:latin typeface="Times New Roman" pitchFamily="18" charset="0"/>
                    <a:cs typeface="Times New Roman" pitchFamily="18" charset="0"/>
                  </a:defRPr>
                </a:pPr>
                <a:endParaRPr lang="en-US"/>
              </a:p>
            </c:txPr>
            <c:dLblPos val="ctr"/>
            <c:showLegendKey val="0"/>
            <c:showVal val="0"/>
            <c:showCatName val="1"/>
            <c:showSerName val="0"/>
            <c:showPercent val="0"/>
            <c:showBubbleSize val="0"/>
            <c:showLeaderLines val="0"/>
          </c:dLbls>
          <c:cat>
            <c:strRef>
              <c:f>'MT1505 &amp; PH1703'!$B$4:$G$4</c:f>
              <c:strCache>
                <c:ptCount val="6"/>
                <c:pt idx="0">
                  <c:v>A</c:v>
                </c:pt>
                <c:pt idx="1">
                  <c:v>B</c:v>
                </c:pt>
                <c:pt idx="2">
                  <c:v>C</c:v>
                </c:pt>
                <c:pt idx="3">
                  <c:v>D</c:v>
                </c:pt>
                <c:pt idx="4">
                  <c:v>F</c:v>
                </c:pt>
                <c:pt idx="5">
                  <c:v>W</c:v>
                </c:pt>
              </c:strCache>
            </c:strRef>
          </c:cat>
          <c:val>
            <c:numRef>
              <c:f>'MT1505 &amp; PH1703'!$B$6:$G$6</c:f>
              <c:numCache>
                <c:formatCode>General</c:formatCode>
                <c:ptCount val="6"/>
                <c:pt idx="0">
                  <c:v>4</c:v>
                </c:pt>
                <c:pt idx="1">
                  <c:v>10</c:v>
                </c:pt>
                <c:pt idx="2">
                  <c:v>1</c:v>
                </c:pt>
                <c:pt idx="5">
                  <c:v>1</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75883643534306822"/>
          <c:y val="0.32054972295129769"/>
          <c:w val="0.18230860526550874"/>
          <c:h val="0.50230314960629918"/>
        </c:manualLayout>
      </c:layout>
      <c:overlay val="0"/>
      <c:txPr>
        <a:bodyPr/>
        <a:lstStyle/>
        <a:p>
          <a:pPr rtl="0">
            <a:defRPr/>
          </a:pPr>
          <a:endParaRPr lang="en-US"/>
        </a:p>
      </c:txPr>
    </c:legend>
    <c:plotVisOnly val="1"/>
    <c:dispBlanksAs val="gap"/>
    <c:showDLblsOverMax val="0"/>
  </c:chart>
  <c:spPr>
    <a:ln w="1270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100">
                <a:latin typeface="Times New Roman" pitchFamily="18" charset="0"/>
                <a:cs typeface="Times New Roman" pitchFamily="18" charset="0"/>
              </a:rPr>
              <a:t>PH1703</a:t>
            </a:r>
            <a:r>
              <a:rPr lang="en-US" sz="1100" baseline="0">
                <a:latin typeface="Times New Roman" pitchFamily="18" charset="0"/>
                <a:cs typeface="Times New Roman" pitchFamily="18" charset="0"/>
              </a:rPr>
              <a:t> Grades for Pre-Calc A</a:t>
            </a:r>
            <a:endParaRPr lang="en-US" sz="1100">
              <a:latin typeface="Times New Roman" pitchFamily="18" charset="0"/>
              <a:cs typeface="Times New Roman" pitchFamily="18" charset="0"/>
            </a:endParaRPr>
          </a:p>
        </c:rich>
      </c:tx>
      <c:layout>
        <c:manualLayout>
          <c:xMode val="edge"/>
          <c:yMode val="edge"/>
          <c:x val="6.493186264034323E-2"/>
          <c:y val="6.0500539751079503E-2"/>
        </c:manualLayout>
      </c:layout>
      <c:overlay val="0"/>
    </c:title>
    <c:autoTitleDeleted val="0"/>
    <c:plotArea>
      <c:layout/>
      <c:pieChart>
        <c:varyColors val="1"/>
        <c:ser>
          <c:idx val="0"/>
          <c:order val="0"/>
          <c:tx>
            <c:strRef>
              <c:f>'MT1505 &amp; PH1703'!$A$5</c:f>
              <c:strCache>
                <c:ptCount val="1"/>
                <c:pt idx="0">
                  <c:v>A</c:v>
                </c:pt>
              </c:strCache>
            </c:strRef>
          </c:tx>
          <c:dPt>
            <c:idx val="0"/>
            <c:bubble3D val="0"/>
            <c:spPr>
              <a:solidFill>
                <a:srgbClr val="00CC00"/>
              </a:solidFill>
            </c:spPr>
          </c:dPt>
          <c:dPt>
            <c:idx val="1"/>
            <c:bubble3D val="0"/>
            <c:spPr>
              <a:solidFill>
                <a:srgbClr val="3333FF"/>
              </a:solidFill>
            </c:spPr>
          </c:dPt>
          <c:dPt>
            <c:idx val="2"/>
            <c:bubble3D val="0"/>
            <c:spPr>
              <a:solidFill>
                <a:srgbClr val="9933FF"/>
              </a:solidFill>
            </c:spPr>
          </c:dPt>
          <c:dPt>
            <c:idx val="3"/>
            <c:bubble3D val="0"/>
            <c:spPr>
              <a:solidFill>
                <a:srgbClr val="FF9900"/>
              </a:solidFill>
            </c:spPr>
          </c:dPt>
          <c:dPt>
            <c:idx val="4"/>
            <c:bubble3D val="0"/>
            <c:spPr>
              <a:solidFill>
                <a:srgbClr val="FF0000"/>
              </a:solidFill>
            </c:spPr>
          </c:dPt>
          <c:dPt>
            <c:idx val="5"/>
            <c:bubble3D val="0"/>
            <c:spPr>
              <a:solidFill>
                <a:schemeClr val="tx1"/>
              </a:solidFill>
            </c:spPr>
          </c:dPt>
          <c:dLbls>
            <c:txPr>
              <a:bodyPr/>
              <a:lstStyle/>
              <a:p>
                <a:pPr>
                  <a:defRPr sz="1000" b="1">
                    <a:latin typeface="Times New Roman" pitchFamily="18" charset="0"/>
                    <a:cs typeface="Times New Roman" pitchFamily="18" charset="0"/>
                  </a:defRPr>
                </a:pPr>
                <a:endParaRPr lang="en-US"/>
              </a:p>
            </c:txPr>
            <c:dLblPos val="ctr"/>
            <c:showLegendKey val="0"/>
            <c:showVal val="0"/>
            <c:showCatName val="1"/>
            <c:showSerName val="0"/>
            <c:showPercent val="0"/>
            <c:showBubbleSize val="0"/>
            <c:showLeaderLines val="0"/>
          </c:dLbls>
          <c:cat>
            <c:strRef>
              <c:f>'MT1505 &amp; PH1703'!$B$4:$G$4</c:f>
              <c:strCache>
                <c:ptCount val="6"/>
                <c:pt idx="0">
                  <c:v>A</c:v>
                </c:pt>
                <c:pt idx="1">
                  <c:v>B</c:v>
                </c:pt>
                <c:pt idx="2">
                  <c:v>C</c:v>
                </c:pt>
                <c:pt idx="3">
                  <c:v>D</c:v>
                </c:pt>
                <c:pt idx="4">
                  <c:v>F</c:v>
                </c:pt>
                <c:pt idx="5">
                  <c:v>W</c:v>
                </c:pt>
              </c:strCache>
            </c:strRef>
          </c:cat>
          <c:val>
            <c:numRef>
              <c:f>'MT1505 &amp; PH1703'!$B$5:$G$5</c:f>
              <c:numCache>
                <c:formatCode>General</c:formatCode>
                <c:ptCount val="6"/>
                <c:pt idx="0">
                  <c:v>6</c:v>
                </c:pt>
                <c:pt idx="1">
                  <c:v>2</c:v>
                </c:pt>
                <c:pt idx="3">
                  <c:v>1</c:v>
                </c:pt>
              </c:numCache>
            </c:numRef>
          </c:val>
        </c:ser>
        <c:dLbls>
          <c:dLblPos val="ctr"/>
          <c:showLegendKey val="0"/>
          <c:showVal val="1"/>
          <c:showCatName val="0"/>
          <c:showSerName val="0"/>
          <c:showPercent val="0"/>
          <c:showBubbleSize val="0"/>
          <c:showLeaderLines val="0"/>
        </c:dLbls>
        <c:firstSliceAng val="0"/>
      </c:pieChart>
    </c:plotArea>
    <c:legend>
      <c:legendPos val="r"/>
      <c:layout>
        <c:manualLayout>
          <c:xMode val="edge"/>
          <c:yMode val="edge"/>
          <c:x val="0.72958357518634209"/>
          <c:y val="0.32060093305775472"/>
          <c:w val="0.20241519736879998"/>
          <c:h val="0.50230314960629918"/>
        </c:manualLayout>
      </c:layout>
      <c:overlay val="0"/>
      <c:txPr>
        <a:bodyPr/>
        <a:lstStyle/>
        <a:p>
          <a:pPr rtl="0">
            <a:defRPr>
              <a:latin typeface="Times New Roman" pitchFamily="18" charset="0"/>
              <a:cs typeface="Times New Roman" pitchFamily="18" charset="0"/>
            </a:defRPr>
          </a:pPr>
          <a:endParaRPr lang="en-US"/>
        </a:p>
      </c:txPr>
    </c:legend>
    <c:plotVisOnly val="1"/>
    <c:dispBlanksAs val="gap"/>
    <c:showDLblsOverMax val="0"/>
  </c:chart>
  <c:spPr>
    <a:ln w="12700"/>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PH1703 College Physics I Success Rates </a:t>
            </a:r>
          </a:p>
        </c:rich>
      </c:tx>
      <c:layout>
        <c:manualLayout>
          <c:xMode val="edge"/>
          <c:yMode val="edge"/>
          <c:x val="0.15637352630132761"/>
          <c:y val="4.3711970453802526E-2"/>
        </c:manualLayout>
      </c:layout>
      <c:overlay val="0"/>
    </c:title>
    <c:autoTitleDeleted val="0"/>
    <c:plotArea>
      <c:layout/>
      <c:barChart>
        <c:barDir val="col"/>
        <c:grouping val="clustered"/>
        <c:varyColors val="0"/>
        <c:ser>
          <c:idx val="0"/>
          <c:order val="0"/>
          <c:tx>
            <c:strRef>
              <c:f>'Enrollments &amp; Success Rates'!$P$15</c:f>
              <c:strCache>
                <c:ptCount val="1"/>
                <c:pt idx="0">
                  <c:v>ABC</c:v>
                </c:pt>
              </c:strCache>
            </c:strRef>
          </c:tx>
          <c:invertIfNegative val="0"/>
          <c:cat>
            <c:numRef>
              <c:f>'Enrollments &amp; Success Rates'!$A$16:$A$18</c:f>
              <c:numCache>
                <c:formatCode>General</c:formatCode>
                <c:ptCount val="3"/>
                <c:pt idx="0">
                  <c:v>2010</c:v>
                </c:pt>
                <c:pt idx="1">
                  <c:v>2011</c:v>
                </c:pt>
                <c:pt idx="2">
                  <c:v>2012</c:v>
                </c:pt>
              </c:numCache>
            </c:numRef>
          </c:cat>
          <c:val>
            <c:numRef>
              <c:f>'Enrollments &amp; Success Rates'!$P$16:$P$18</c:f>
              <c:numCache>
                <c:formatCode>0%</c:formatCode>
                <c:ptCount val="3"/>
                <c:pt idx="0">
                  <c:v>0.66666666666666674</c:v>
                </c:pt>
                <c:pt idx="1">
                  <c:v>0.88888888888888884</c:v>
                </c:pt>
                <c:pt idx="2">
                  <c:v>1</c:v>
                </c:pt>
              </c:numCache>
            </c:numRef>
          </c:val>
        </c:ser>
        <c:ser>
          <c:idx val="1"/>
          <c:order val="1"/>
          <c:tx>
            <c:strRef>
              <c:f>'Enrollments &amp; Success Rates'!$Q$15</c:f>
              <c:strCache>
                <c:ptCount val="1"/>
                <c:pt idx="0">
                  <c:v>DF</c:v>
                </c:pt>
              </c:strCache>
            </c:strRef>
          </c:tx>
          <c:invertIfNegative val="0"/>
          <c:cat>
            <c:numRef>
              <c:f>'Enrollments &amp; Success Rates'!$A$16:$A$18</c:f>
              <c:numCache>
                <c:formatCode>General</c:formatCode>
                <c:ptCount val="3"/>
                <c:pt idx="0">
                  <c:v>2010</c:v>
                </c:pt>
                <c:pt idx="1">
                  <c:v>2011</c:v>
                </c:pt>
                <c:pt idx="2">
                  <c:v>2012</c:v>
                </c:pt>
              </c:numCache>
            </c:numRef>
          </c:cat>
          <c:val>
            <c:numRef>
              <c:f>'Enrollments &amp; Success Rates'!$Q$16:$Q$18</c:f>
              <c:numCache>
                <c:formatCode>0%</c:formatCode>
                <c:ptCount val="3"/>
                <c:pt idx="0">
                  <c:v>0.22222222222222221</c:v>
                </c:pt>
                <c:pt idx="1">
                  <c:v>0</c:v>
                </c:pt>
                <c:pt idx="2">
                  <c:v>0</c:v>
                </c:pt>
              </c:numCache>
            </c:numRef>
          </c:val>
        </c:ser>
        <c:ser>
          <c:idx val="2"/>
          <c:order val="2"/>
          <c:tx>
            <c:strRef>
              <c:f>'Enrollments &amp; Success Rates'!$H$15</c:f>
              <c:strCache>
                <c:ptCount val="1"/>
                <c:pt idx="0">
                  <c:v>W</c:v>
                </c:pt>
              </c:strCache>
            </c:strRef>
          </c:tx>
          <c:invertIfNegative val="0"/>
          <c:cat>
            <c:numRef>
              <c:f>'Enrollments &amp; Success Rates'!$A$16:$A$18</c:f>
              <c:numCache>
                <c:formatCode>General</c:formatCode>
                <c:ptCount val="3"/>
                <c:pt idx="0">
                  <c:v>2010</c:v>
                </c:pt>
                <c:pt idx="1">
                  <c:v>2011</c:v>
                </c:pt>
                <c:pt idx="2">
                  <c:v>2012</c:v>
                </c:pt>
              </c:numCache>
            </c:numRef>
          </c:cat>
          <c:val>
            <c:numRef>
              <c:f>'Enrollments &amp; Success Rates'!$O$16:$O$18</c:f>
              <c:numCache>
                <c:formatCode>0%</c:formatCode>
                <c:ptCount val="3"/>
                <c:pt idx="0">
                  <c:v>0.1111111111111111</c:v>
                </c:pt>
                <c:pt idx="1">
                  <c:v>0.1111111111111111</c:v>
                </c:pt>
                <c:pt idx="2">
                  <c:v>0</c:v>
                </c:pt>
              </c:numCache>
            </c:numRef>
          </c:val>
        </c:ser>
        <c:dLbls>
          <c:showLegendKey val="0"/>
          <c:showVal val="0"/>
          <c:showCatName val="0"/>
          <c:showSerName val="0"/>
          <c:showPercent val="0"/>
          <c:showBubbleSize val="0"/>
        </c:dLbls>
        <c:gapWidth val="150"/>
        <c:axId val="53767168"/>
        <c:axId val="53768960"/>
      </c:barChart>
      <c:catAx>
        <c:axId val="53767168"/>
        <c:scaling>
          <c:orientation val="minMax"/>
        </c:scaling>
        <c:delete val="0"/>
        <c:axPos val="b"/>
        <c:numFmt formatCode="General" sourceLinked="1"/>
        <c:majorTickMark val="out"/>
        <c:minorTickMark val="none"/>
        <c:tickLblPos val="nextTo"/>
        <c:crossAx val="53768960"/>
        <c:crosses val="autoZero"/>
        <c:auto val="1"/>
        <c:lblAlgn val="ctr"/>
        <c:lblOffset val="100"/>
        <c:noMultiLvlLbl val="0"/>
      </c:catAx>
      <c:valAx>
        <c:axId val="53768960"/>
        <c:scaling>
          <c:orientation val="minMax"/>
          <c:max val="1"/>
        </c:scaling>
        <c:delete val="0"/>
        <c:axPos val="l"/>
        <c:majorGridlines/>
        <c:numFmt formatCode="0%" sourceLinked="0"/>
        <c:majorTickMark val="out"/>
        <c:minorTickMark val="none"/>
        <c:tickLblPos val="nextTo"/>
        <c:crossAx val="53767168"/>
        <c:crosses val="autoZero"/>
        <c:crossBetween val="between"/>
        <c:majorUnit val="0.2"/>
      </c:valAx>
    </c:plotArea>
    <c:legend>
      <c:legendPos val="r"/>
      <c:layout>
        <c:manualLayout>
          <c:xMode val="edge"/>
          <c:yMode val="edge"/>
          <c:x val="0.82599230640359811"/>
          <c:y val="0.31685142598253152"/>
          <c:w val="0.14945777542946248"/>
          <c:h val="0.31246105115305783"/>
        </c:manualLayout>
      </c:layout>
      <c:overlay val="0"/>
    </c:legend>
    <c:plotVisOnly val="1"/>
    <c:dispBlanksAs val="gap"/>
    <c:showDLblsOverMax val="0"/>
  </c:chart>
  <c:spPr>
    <a:ln w="12700"/>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PH1803 College Phys II Success Rates</a:t>
            </a:r>
          </a:p>
        </c:rich>
      </c:tx>
      <c:layout>
        <c:manualLayout>
          <c:xMode val="edge"/>
          <c:yMode val="edge"/>
          <c:x val="0.13864369591888401"/>
          <c:y val="4.3699927166788055E-2"/>
        </c:manualLayout>
      </c:layout>
      <c:overlay val="0"/>
    </c:title>
    <c:autoTitleDeleted val="0"/>
    <c:plotArea>
      <c:layout/>
      <c:barChart>
        <c:barDir val="col"/>
        <c:grouping val="clustered"/>
        <c:varyColors val="0"/>
        <c:ser>
          <c:idx val="0"/>
          <c:order val="0"/>
          <c:tx>
            <c:strRef>
              <c:f>'Enrollments &amp; Success Rates'!$P$21</c:f>
              <c:strCache>
                <c:ptCount val="1"/>
                <c:pt idx="0">
                  <c:v>ABC</c:v>
                </c:pt>
              </c:strCache>
            </c:strRef>
          </c:tx>
          <c:invertIfNegative val="0"/>
          <c:cat>
            <c:numRef>
              <c:f>'Enrollments &amp; Success Rates'!$A$22:$A$23</c:f>
              <c:numCache>
                <c:formatCode>General</c:formatCode>
                <c:ptCount val="2"/>
                <c:pt idx="0">
                  <c:v>2010</c:v>
                </c:pt>
                <c:pt idx="1">
                  <c:v>2013</c:v>
                </c:pt>
              </c:numCache>
            </c:numRef>
          </c:cat>
          <c:val>
            <c:numRef>
              <c:f>'Enrollments &amp; Success Rates'!$P$22:$P$23</c:f>
              <c:numCache>
                <c:formatCode>0%</c:formatCode>
                <c:ptCount val="2"/>
                <c:pt idx="0">
                  <c:v>1</c:v>
                </c:pt>
                <c:pt idx="1">
                  <c:v>1</c:v>
                </c:pt>
              </c:numCache>
            </c:numRef>
          </c:val>
        </c:ser>
        <c:ser>
          <c:idx val="1"/>
          <c:order val="1"/>
          <c:tx>
            <c:strRef>
              <c:f>'Enrollments &amp; Success Rates'!$Q$21</c:f>
              <c:strCache>
                <c:ptCount val="1"/>
                <c:pt idx="0">
                  <c:v>DF</c:v>
                </c:pt>
              </c:strCache>
            </c:strRef>
          </c:tx>
          <c:invertIfNegative val="0"/>
          <c:cat>
            <c:numRef>
              <c:f>'Enrollments &amp; Success Rates'!$A$22:$A$23</c:f>
              <c:numCache>
                <c:formatCode>General</c:formatCode>
                <c:ptCount val="2"/>
                <c:pt idx="0">
                  <c:v>2010</c:v>
                </c:pt>
                <c:pt idx="1">
                  <c:v>2013</c:v>
                </c:pt>
              </c:numCache>
            </c:numRef>
          </c:cat>
          <c:val>
            <c:numRef>
              <c:f>'Enrollments &amp; Success Rates'!$Q$22:$Q$23</c:f>
              <c:numCache>
                <c:formatCode>0%</c:formatCode>
                <c:ptCount val="2"/>
                <c:pt idx="0">
                  <c:v>0</c:v>
                </c:pt>
                <c:pt idx="1">
                  <c:v>0</c:v>
                </c:pt>
              </c:numCache>
            </c:numRef>
          </c:val>
        </c:ser>
        <c:ser>
          <c:idx val="2"/>
          <c:order val="2"/>
          <c:tx>
            <c:strRef>
              <c:f>'Enrollments &amp; Success Rates'!$H$21</c:f>
              <c:strCache>
                <c:ptCount val="1"/>
                <c:pt idx="0">
                  <c:v>W</c:v>
                </c:pt>
              </c:strCache>
            </c:strRef>
          </c:tx>
          <c:invertIfNegative val="0"/>
          <c:val>
            <c:numRef>
              <c:f>'Enrollments &amp; Success Rates'!$O$22:$O$23</c:f>
              <c:numCache>
                <c:formatCode>0%</c:formatCode>
                <c:ptCount val="2"/>
                <c:pt idx="0">
                  <c:v>0</c:v>
                </c:pt>
                <c:pt idx="1">
                  <c:v>0</c:v>
                </c:pt>
              </c:numCache>
            </c:numRef>
          </c:val>
        </c:ser>
        <c:dLbls>
          <c:showLegendKey val="0"/>
          <c:showVal val="0"/>
          <c:showCatName val="0"/>
          <c:showSerName val="0"/>
          <c:showPercent val="0"/>
          <c:showBubbleSize val="0"/>
        </c:dLbls>
        <c:gapWidth val="150"/>
        <c:axId val="53791360"/>
        <c:axId val="53793152"/>
      </c:barChart>
      <c:catAx>
        <c:axId val="53791360"/>
        <c:scaling>
          <c:orientation val="minMax"/>
        </c:scaling>
        <c:delete val="0"/>
        <c:axPos val="b"/>
        <c:numFmt formatCode="General" sourceLinked="1"/>
        <c:majorTickMark val="out"/>
        <c:minorTickMark val="none"/>
        <c:tickLblPos val="nextTo"/>
        <c:crossAx val="53793152"/>
        <c:crosses val="autoZero"/>
        <c:auto val="1"/>
        <c:lblAlgn val="ctr"/>
        <c:lblOffset val="100"/>
        <c:noMultiLvlLbl val="0"/>
      </c:catAx>
      <c:valAx>
        <c:axId val="53793152"/>
        <c:scaling>
          <c:orientation val="minMax"/>
          <c:max val="1"/>
        </c:scaling>
        <c:delete val="0"/>
        <c:axPos val="l"/>
        <c:majorGridlines/>
        <c:numFmt formatCode="0%" sourceLinked="0"/>
        <c:majorTickMark val="out"/>
        <c:minorTickMark val="none"/>
        <c:tickLblPos val="nextTo"/>
        <c:crossAx val="53791360"/>
        <c:crosses val="autoZero"/>
        <c:crossBetween val="between"/>
        <c:majorUnit val="0.2"/>
      </c:valAx>
    </c:plotArea>
    <c:legend>
      <c:legendPos val="r"/>
      <c:layout>
        <c:manualLayout>
          <c:xMode val="edge"/>
          <c:yMode val="edge"/>
          <c:x val="0.82470123530519113"/>
          <c:y val="0.23673489284342006"/>
          <c:w val="0.15056669544501497"/>
          <c:h val="0.37066656726175795"/>
        </c:manualLayout>
      </c:layout>
      <c:overlay val="0"/>
    </c:legend>
    <c:plotVisOnly val="1"/>
    <c:dispBlanksAs val="gap"/>
    <c:showDLblsOverMax val="0"/>
  </c:chart>
  <c:spPr>
    <a:ln w="12700"/>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100"/>
              <a:t>PH1703 Grades for Pre-Calc C</a:t>
            </a:r>
          </a:p>
        </c:rich>
      </c:tx>
      <c:layout>
        <c:manualLayout>
          <c:xMode val="edge"/>
          <c:yMode val="edge"/>
          <c:x val="3.1542748179442082E-2"/>
          <c:y val="4.1067761806981518E-2"/>
        </c:manualLayout>
      </c:layout>
      <c:overlay val="0"/>
    </c:title>
    <c:autoTitleDeleted val="0"/>
    <c:plotArea>
      <c:layout/>
      <c:pieChart>
        <c:varyColors val="1"/>
        <c:ser>
          <c:idx val="0"/>
          <c:order val="0"/>
          <c:tx>
            <c:strRef>
              <c:f>'MT1505 &amp; PH1703'!$A$7</c:f>
              <c:strCache>
                <c:ptCount val="1"/>
                <c:pt idx="0">
                  <c:v>C</c:v>
                </c:pt>
              </c:strCache>
            </c:strRef>
          </c:tx>
          <c:dPt>
            <c:idx val="0"/>
            <c:bubble3D val="0"/>
            <c:spPr>
              <a:solidFill>
                <a:srgbClr val="00CC00"/>
              </a:solidFill>
            </c:spPr>
          </c:dPt>
          <c:dPt>
            <c:idx val="1"/>
            <c:bubble3D val="0"/>
            <c:spPr>
              <a:solidFill>
                <a:srgbClr val="3333FF"/>
              </a:solidFill>
            </c:spPr>
          </c:dPt>
          <c:dPt>
            <c:idx val="2"/>
            <c:bubble3D val="0"/>
            <c:spPr>
              <a:solidFill>
                <a:srgbClr val="9933FF"/>
              </a:solidFill>
            </c:spPr>
          </c:dPt>
          <c:dPt>
            <c:idx val="3"/>
            <c:bubble3D val="0"/>
            <c:spPr>
              <a:solidFill>
                <a:srgbClr val="FF9900"/>
              </a:solidFill>
            </c:spPr>
          </c:dPt>
          <c:dPt>
            <c:idx val="4"/>
            <c:bubble3D val="0"/>
            <c:spPr>
              <a:solidFill>
                <a:srgbClr val="FF0000"/>
              </a:solidFill>
            </c:spPr>
          </c:dPt>
          <c:dPt>
            <c:idx val="5"/>
            <c:bubble3D val="0"/>
            <c:spPr>
              <a:solidFill>
                <a:schemeClr val="tx1"/>
              </a:solidFill>
            </c:spPr>
          </c:dPt>
          <c:dLbls>
            <c:dLbl>
              <c:idx val="3"/>
              <c:layout>
                <c:manualLayout>
                  <c:x val="3.4642733122188379E-2"/>
                  <c:y val="0.10100821469079582"/>
                </c:manualLayout>
              </c:layout>
              <c:dLblPos val="bestFit"/>
              <c:showLegendKey val="0"/>
              <c:showVal val="0"/>
              <c:showCatName val="1"/>
              <c:showSerName val="0"/>
              <c:showPercent val="0"/>
              <c:showBubbleSize val="0"/>
            </c:dLbl>
            <c:txPr>
              <a:bodyPr/>
              <a:lstStyle/>
              <a:p>
                <a:pPr>
                  <a:defRPr b="1"/>
                </a:pPr>
                <a:endParaRPr lang="en-US"/>
              </a:p>
            </c:txPr>
            <c:dLblPos val="ctr"/>
            <c:showLegendKey val="0"/>
            <c:showVal val="0"/>
            <c:showCatName val="1"/>
            <c:showSerName val="0"/>
            <c:showPercent val="0"/>
            <c:showBubbleSize val="0"/>
            <c:showLeaderLines val="0"/>
          </c:dLbls>
          <c:cat>
            <c:strRef>
              <c:f>'MT1505 &amp; PH1703'!$B$4:$G$4</c:f>
              <c:strCache>
                <c:ptCount val="6"/>
                <c:pt idx="0">
                  <c:v>A</c:v>
                </c:pt>
                <c:pt idx="1">
                  <c:v>B</c:v>
                </c:pt>
                <c:pt idx="2">
                  <c:v>C</c:v>
                </c:pt>
                <c:pt idx="3">
                  <c:v>D</c:v>
                </c:pt>
                <c:pt idx="4">
                  <c:v>F</c:v>
                </c:pt>
                <c:pt idx="5">
                  <c:v>W</c:v>
                </c:pt>
              </c:strCache>
            </c:strRef>
          </c:cat>
          <c:val>
            <c:numRef>
              <c:f>'MT1505 &amp; PH1703'!$B$7:$G$7</c:f>
              <c:numCache>
                <c:formatCode>General</c:formatCode>
                <c:ptCount val="6"/>
                <c:pt idx="0">
                  <c:v>5</c:v>
                </c:pt>
                <c:pt idx="1">
                  <c:v>7</c:v>
                </c:pt>
                <c:pt idx="2">
                  <c:v>4</c:v>
                </c:pt>
                <c:pt idx="3">
                  <c:v>1</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75883643534306822"/>
          <c:y val="0.32054972295129769"/>
          <c:w val="0.1792110206637445"/>
          <c:h val="0.50230314960629918"/>
        </c:manualLayout>
      </c:layout>
      <c:overlay val="0"/>
      <c:txPr>
        <a:bodyPr/>
        <a:lstStyle/>
        <a:p>
          <a:pPr rtl="0">
            <a:defRPr/>
          </a:pPr>
          <a:endParaRPr lang="en-US"/>
        </a:p>
      </c:txPr>
    </c:legend>
    <c:plotVisOnly val="1"/>
    <c:dispBlanksAs val="gap"/>
    <c:showDLblsOverMax val="0"/>
  </c:chart>
  <c:spPr>
    <a:ln w="12700"/>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PH2103 General Phys I Success Rates</a:t>
            </a:r>
          </a:p>
        </c:rich>
      </c:tx>
      <c:overlay val="0"/>
    </c:title>
    <c:autoTitleDeleted val="0"/>
    <c:plotArea>
      <c:layout/>
      <c:barChart>
        <c:barDir val="col"/>
        <c:grouping val="clustered"/>
        <c:varyColors val="0"/>
        <c:ser>
          <c:idx val="0"/>
          <c:order val="0"/>
          <c:tx>
            <c:strRef>
              <c:f>'Enrollments &amp; Success Rates'!$P$3</c:f>
              <c:strCache>
                <c:ptCount val="1"/>
                <c:pt idx="0">
                  <c:v>ABC</c:v>
                </c:pt>
              </c:strCache>
            </c:strRef>
          </c:tx>
          <c:invertIfNegative val="0"/>
          <c:cat>
            <c:numRef>
              <c:f>'Enrollments &amp; Success Rates'!$A$4:$A$6</c:f>
              <c:numCache>
                <c:formatCode>General</c:formatCode>
                <c:ptCount val="3"/>
                <c:pt idx="0">
                  <c:v>2010</c:v>
                </c:pt>
                <c:pt idx="1">
                  <c:v>2011</c:v>
                </c:pt>
                <c:pt idx="2">
                  <c:v>2012</c:v>
                </c:pt>
              </c:numCache>
            </c:numRef>
          </c:cat>
          <c:val>
            <c:numRef>
              <c:f>'Enrollments &amp; Success Rates'!$P$4:$P$6</c:f>
              <c:numCache>
                <c:formatCode>0%</c:formatCode>
                <c:ptCount val="3"/>
                <c:pt idx="0">
                  <c:v>0.88235294117647056</c:v>
                </c:pt>
                <c:pt idx="1">
                  <c:v>0.89655172413793105</c:v>
                </c:pt>
                <c:pt idx="2">
                  <c:v>0.73913043478260865</c:v>
                </c:pt>
              </c:numCache>
            </c:numRef>
          </c:val>
        </c:ser>
        <c:ser>
          <c:idx val="1"/>
          <c:order val="1"/>
          <c:tx>
            <c:strRef>
              <c:f>'Enrollments &amp; Success Rates'!$Q$3</c:f>
              <c:strCache>
                <c:ptCount val="1"/>
                <c:pt idx="0">
                  <c:v>DF</c:v>
                </c:pt>
              </c:strCache>
            </c:strRef>
          </c:tx>
          <c:invertIfNegative val="0"/>
          <c:cat>
            <c:numRef>
              <c:f>'Enrollments &amp; Success Rates'!$A$4:$A$6</c:f>
              <c:numCache>
                <c:formatCode>General</c:formatCode>
                <c:ptCount val="3"/>
                <c:pt idx="0">
                  <c:v>2010</c:v>
                </c:pt>
                <c:pt idx="1">
                  <c:v>2011</c:v>
                </c:pt>
                <c:pt idx="2">
                  <c:v>2012</c:v>
                </c:pt>
              </c:numCache>
            </c:numRef>
          </c:cat>
          <c:val>
            <c:numRef>
              <c:f>'Enrollments &amp; Success Rates'!$Q$4:$Q$6</c:f>
              <c:numCache>
                <c:formatCode>0%</c:formatCode>
                <c:ptCount val="3"/>
                <c:pt idx="0">
                  <c:v>0</c:v>
                </c:pt>
                <c:pt idx="1">
                  <c:v>3.4482758620689655E-2</c:v>
                </c:pt>
                <c:pt idx="2">
                  <c:v>4.3478260869565216E-2</c:v>
                </c:pt>
              </c:numCache>
            </c:numRef>
          </c:val>
        </c:ser>
        <c:ser>
          <c:idx val="2"/>
          <c:order val="2"/>
          <c:tx>
            <c:strRef>
              <c:f>'Enrollments &amp; Success Rates'!$H$3</c:f>
              <c:strCache>
                <c:ptCount val="1"/>
                <c:pt idx="0">
                  <c:v>W</c:v>
                </c:pt>
              </c:strCache>
            </c:strRef>
          </c:tx>
          <c:invertIfNegative val="0"/>
          <c:cat>
            <c:numRef>
              <c:f>'Enrollments &amp; Success Rates'!$A$4:$A$6</c:f>
              <c:numCache>
                <c:formatCode>General</c:formatCode>
                <c:ptCount val="3"/>
                <c:pt idx="0">
                  <c:v>2010</c:v>
                </c:pt>
                <c:pt idx="1">
                  <c:v>2011</c:v>
                </c:pt>
                <c:pt idx="2">
                  <c:v>2012</c:v>
                </c:pt>
              </c:numCache>
            </c:numRef>
          </c:cat>
          <c:val>
            <c:numRef>
              <c:f>'Enrollments &amp; Success Rates'!$O$4:$O$6</c:f>
              <c:numCache>
                <c:formatCode>0%</c:formatCode>
                <c:ptCount val="3"/>
                <c:pt idx="0">
                  <c:v>0.11764705882352941</c:v>
                </c:pt>
                <c:pt idx="1">
                  <c:v>6.8965517241379309E-2</c:v>
                </c:pt>
                <c:pt idx="2">
                  <c:v>0.21739130434782608</c:v>
                </c:pt>
              </c:numCache>
            </c:numRef>
          </c:val>
        </c:ser>
        <c:dLbls>
          <c:showLegendKey val="0"/>
          <c:showVal val="0"/>
          <c:showCatName val="0"/>
          <c:showSerName val="0"/>
          <c:showPercent val="0"/>
          <c:showBubbleSize val="0"/>
        </c:dLbls>
        <c:gapWidth val="150"/>
        <c:axId val="81897728"/>
        <c:axId val="81899520"/>
      </c:barChart>
      <c:catAx>
        <c:axId val="81897728"/>
        <c:scaling>
          <c:orientation val="minMax"/>
        </c:scaling>
        <c:delete val="0"/>
        <c:axPos val="b"/>
        <c:numFmt formatCode="General" sourceLinked="1"/>
        <c:majorTickMark val="out"/>
        <c:minorTickMark val="none"/>
        <c:tickLblPos val="nextTo"/>
        <c:crossAx val="81899520"/>
        <c:crosses val="autoZero"/>
        <c:auto val="1"/>
        <c:lblAlgn val="ctr"/>
        <c:lblOffset val="100"/>
        <c:noMultiLvlLbl val="0"/>
      </c:catAx>
      <c:valAx>
        <c:axId val="81899520"/>
        <c:scaling>
          <c:orientation val="minMax"/>
        </c:scaling>
        <c:delete val="0"/>
        <c:axPos val="l"/>
        <c:majorGridlines/>
        <c:numFmt formatCode="0%" sourceLinked="0"/>
        <c:majorTickMark val="out"/>
        <c:minorTickMark val="none"/>
        <c:tickLblPos val="nextTo"/>
        <c:crossAx val="81897728"/>
        <c:crosses val="autoZero"/>
        <c:crossBetween val="between"/>
        <c:majorUnit val="0.2"/>
      </c:valAx>
    </c:plotArea>
    <c:legend>
      <c:legendPos val="r"/>
      <c:overlay val="0"/>
    </c:legend>
    <c:plotVisOnly val="1"/>
    <c:dispBlanksAs val="gap"/>
    <c:showDLblsOverMax val="0"/>
  </c:chart>
  <c:spPr>
    <a:ln w="12700"/>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PH2203 General Phys II Success Rates</a:t>
            </a:r>
          </a:p>
        </c:rich>
      </c:tx>
      <c:overlay val="0"/>
    </c:title>
    <c:autoTitleDeleted val="0"/>
    <c:plotArea>
      <c:layout/>
      <c:barChart>
        <c:barDir val="col"/>
        <c:grouping val="clustered"/>
        <c:varyColors val="0"/>
        <c:ser>
          <c:idx val="0"/>
          <c:order val="0"/>
          <c:tx>
            <c:strRef>
              <c:f>'Enrollments &amp; Success Rates'!$P$9</c:f>
              <c:strCache>
                <c:ptCount val="1"/>
                <c:pt idx="0">
                  <c:v>ABC</c:v>
                </c:pt>
              </c:strCache>
            </c:strRef>
          </c:tx>
          <c:invertIfNegative val="0"/>
          <c:cat>
            <c:numRef>
              <c:f>'Enrollments &amp; Success Rates'!$A$10:$A$12</c:f>
              <c:numCache>
                <c:formatCode>General</c:formatCode>
                <c:ptCount val="3"/>
                <c:pt idx="0">
                  <c:v>2010</c:v>
                </c:pt>
                <c:pt idx="1">
                  <c:v>2011</c:v>
                </c:pt>
                <c:pt idx="2">
                  <c:v>2012</c:v>
                </c:pt>
              </c:numCache>
            </c:numRef>
          </c:cat>
          <c:val>
            <c:numRef>
              <c:f>'Enrollments &amp; Success Rates'!$P$10:$P$12</c:f>
              <c:numCache>
                <c:formatCode>0%</c:formatCode>
                <c:ptCount val="3"/>
                <c:pt idx="0">
                  <c:v>0.8666666666666667</c:v>
                </c:pt>
                <c:pt idx="1">
                  <c:v>0.55000000000000004</c:v>
                </c:pt>
                <c:pt idx="2">
                  <c:v>0.89999999999999991</c:v>
                </c:pt>
              </c:numCache>
            </c:numRef>
          </c:val>
        </c:ser>
        <c:ser>
          <c:idx val="1"/>
          <c:order val="1"/>
          <c:tx>
            <c:strRef>
              <c:f>'Enrollments &amp; Success Rates'!$Q$9</c:f>
              <c:strCache>
                <c:ptCount val="1"/>
                <c:pt idx="0">
                  <c:v>DF</c:v>
                </c:pt>
              </c:strCache>
            </c:strRef>
          </c:tx>
          <c:invertIfNegative val="0"/>
          <c:cat>
            <c:numRef>
              <c:f>'Enrollments &amp; Success Rates'!$A$10:$A$12</c:f>
              <c:numCache>
                <c:formatCode>General</c:formatCode>
                <c:ptCount val="3"/>
                <c:pt idx="0">
                  <c:v>2010</c:v>
                </c:pt>
                <c:pt idx="1">
                  <c:v>2011</c:v>
                </c:pt>
                <c:pt idx="2">
                  <c:v>2012</c:v>
                </c:pt>
              </c:numCache>
            </c:numRef>
          </c:cat>
          <c:val>
            <c:numRef>
              <c:f>'Enrollments &amp; Success Rates'!$Q$10:$Q$12</c:f>
              <c:numCache>
                <c:formatCode>0%</c:formatCode>
                <c:ptCount val="3"/>
                <c:pt idx="0">
                  <c:v>6.6666666666666666E-2</c:v>
                </c:pt>
                <c:pt idx="1">
                  <c:v>0.15000000000000002</c:v>
                </c:pt>
                <c:pt idx="2">
                  <c:v>0.05</c:v>
                </c:pt>
              </c:numCache>
            </c:numRef>
          </c:val>
        </c:ser>
        <c:ser>
          <c:idx val="2"/>
          <c:order val="2"/>
          <c:tx>
            <c:strRef>
              <c:f>'Enrollments &amp; Success Rates'!$H$9</c:f>
              <c:strCache>
                <c:ptCount val="1"/>
                <c:pt idx="0">
                  <c:v>W</c:v>
                </c:pt>
              </c:strCache>
            </c:strRef>
          </c:tx>
          <c:invertIfNegative val="0"/>
          <c:cat>
            <c:numRef>
              <c:f>'Enrollments &amp; Success Rates'!$A$10:$A$12</c:f>
              <c:numCache>
                <c:formatCode>General</c:formatCode>
                <c:ptCount val="3"/>
                <c:pt idx="0">
                  <c:v>2010</c:v>
                </c:pt>
                <c:pt idx="1">
                  <c:v>2011</c:v>
                </c:pt>
                <c:pt idx="2">
                  <c:v>2012</c:v>
                </c:pt>
              </c:numCache>
            </c:numRef>
          </c:cat>
          <c:val>
            <c:numRef>
              <c:f>'Enrollments &amp; Success Rates'!$O$10:$O$12</c:f>
              <c:numCache>
                <c:formatCode>0%</c:formatCode>
                <c:ptCount val="3"/>
                <c:pt idx="0">
                  <c:v>6.6666666666666666E-2</c:v>
                </c:pt>
                <c:pt idx="1">
                  <c:v>0.3</c:v>
                </c:pt>
                <c:pt idx="2">
                  <c:v>0.05</c:v>
                </c:pt>
              </c:numCache>
            </c:numRef>
          </c:val>
        </c:ser>
        <c:dLbls>
          <c:showLegendKey val="0"/>
          <c:showVal val="0"/>
          <c:showCatName val="0"/>
          <c:showSerName val="0"/>
          <c:showPercent val="0"/>
          <c:showBubbleSize val="0"/>
        </c:dLbls>
        <c:gapWidth val="150"/>
        <c:axId val="82220544"/>
        <c:axId val="82222080"/>
      </c:barChart>
      <c:catAx>
        <c:axId val="82220544"/>
        <c:scaling>
          <c:orientation val="minMax"/>
        </c:scaling>
        <c:delete val="0"/>
        <c:axPos val="b"/>
        <c:numFmt formatCode="General" sourceLinked="1"/>
        <c:majorTickMark val="out"/>
        <c:minorTickMark val="none"/>
        <c:tickLblPos val="nextTo"/>
        <c:crossAx val="82222080"/>
        <c:crosses val="autoZero"/>
        <c:auto val="1"/>
        <c:lblAlgn val="ctr"/>
        <c:lblOffset val="100"/>
        <c:noMultiLvlLbl val="0"/>
      </c:catAx>
      <c:valAx>
        <c:axId val="82222080"/>
        <c:scaling>
          <c:orientation val="minMax"/>
        </c:scaling>
        <c:delete val="0"/>
        <c:axPos val="l"/>
        <c:majorGridlines/>
        <c:numFmt formatCode="0%" sourceLinked="0"/>
        <c:majorTickMark val="out"/>
        <c:minorTickMark val="none"/>
        <c:tickLblPos val="nextTo"/>
        <c:crossAx val="82220544"/>
        <c:crosses val="autoZero"/>
        <c:crossBetween val="between"/>
        <c:majorUnit val="0.2"/>
      </c:valAx>
    </c:plotArea>
    <c:legend>
      <c:legendPos val="r"/>
      <c:overlay val="0"/>
    </c:legend>
    <c:plotVisOnly val="1"/>
    <c:dispBlanksAs val="gap"/>
    <c:showDLblsOverMax val="0"/>
  </c:chart>
  <c:spPr>
    <a:ln w="12700"/>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Boehmer</cp:lastModifiedBy>
  <cp:revision>4</cp:revision>
  <dcterms:created xsi:type="dcterms:W3CDTF">2013-07-02T19:30:00Z</dcterms:created>
  <dcterms:modified xsi:type="dcterms:W3CDTF">2013-07-02T19:33:00Z</dcterms:modified>
</cp:coreProperties>
</file>