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B4C" w:rsidRPr="006E09B7" w:rsidRDefault="0066408A" w:rsidP="008A4B4C">
      <w:pPr>
        <w:pStyle w:val="Title"/>
        <w:rPr>
          <w:sz w:val="48"/>
          <w:szCs w:val="48"/>
        </w:rPr>
      </w:pPr>
      <w:r>
        <w:rPr>
          <w:sz w:val="48"/>
          <w:szCs w:val="48"/>
        </w:rPr>
        <w:t xml:space="preserve">Non-Major </w:t>
      </w:r>
      <w:r w:rsidR="008A4B4C" w:rsidRPr="006E09B7">
        <w:rPr>
          <w:sz w:val="48"/>
          <w:szCs w:val="48"/>
        </w:rPr>
        <w:t>Physics Assessment Report</w:t>
      </w:r>
      <w:r w:rsidR="006E09B7" w:rsidRPr="006E09B7">
        <w:rPr>
          <w:sz w:val="48"/>
          <w:szCs w:val="48"/>
        </w:rPr>
        <w:t xml:space="preserve"> SP1</w:t>
      </w:r>
      <w:r w:rsidR="008E4A29">
        <w:rPr>
          <w:sz w:val="48"/>
          <w:szCs w:val="48"/>
        </w:rPr>
        <w:t>5</w:t>
      </w:r>
    </w:p>
    <w:p w:rsidR="00B76415" w:rsidRDefault="00B76415" w:rsidP="00917DAA">
      <w:pPr>
        <w:pStyle w:val="NoSpacing"/>
      </w:pPr>
      <w:r>
        <w:t>Submitted by Dr. Isaiah Kellogg</w:t>
      </w:r>
    </w:p>
    <w:p w:rsidR="00B76415" w:rsidRDefault="00B76415" w:rsidP="00D72825">
      <w:pPr>
        <w:contextualSpacing/>
        <w:rPr>
          <w:b/>
        </w:rPr>
      </w:pPr>
    </w:p>
    <w:p w:rsidR="00D72825" w:rsidRDefault="008A4B4C" w:rsidP="00D72825">
      <w:pPr>
        <w:contextualSpacing/>
      </w:pPr>
      <w:r w:rsidRPr="008A4B4C">
        <w:rPr>
          <w:b/>
        </w:rPr>
        <w:t>Survey of Physical Science</w:t>
      </w:r>
      <w:r>
        <w:t>, PH11</w:t>
      </w:r>
      <w:r w:rsidR="00AC60E8">
        <w:t>25 is a combined lecture and lab course. Formerly two courses (PH1113 Lecture</w:t>
      </w:r>
      <w:r>
        <w:t xml:space="preserve"> and </w:t>
      </w:r>
      <w:r w:rsidR="007B4E15">
        <w:t>PH1122 Lab), it</w:t>
      </w:r>
      <w:r w:rsidR="00AC60E8">
        <w:t xml:space="preserve"> is</w:t>
      </w:r>
      <w:r>
        <w:t xml:space="preserve"> </w:t>
      </w:r>
      <w:r w:rsidR="004F1DD1">
        <w:t>a</w:t>
      </w:r>
      <w:r>
        <w:t xml:space="preserve"> survey of </w:t>
      </w:r>
      <w:r w:rsidR="004F1DD1">
        <w:t xml:space="preserve">the </w:t>
      </w:r>
      <w:r>
        <w:t xml:space="preserve">physical sciences, designed for the non-science major. Students learn about the scientific method of discovery and its application to the fields of geology, astronomy, chemistry, meteorology, </w:t>
      </w:r>
      <w:r w:rsidR="004F1DD1">
        <w:t xml:space="preserve">and </w:t>
      </w:r>
      <w:r>
        <w:t>the environment</w:t>
      </w:r>
      <w:r w:rsidR="004F1DD1">
        <w:t>,</w:t>
      </w:r>
      <w:r>
        <w:t xml:space="preserve"> </w:t>
      </w:r>
      <w:r w:rsidR="004F1DD1">
        <w:t>as well as</w:t>
      </w:r>
      <w:r>
        <w:t xml:space="preserve"> </w:t>
      </w:r>
      <w:r w:rsidR="004F1DD1">
        <w:t xml:space="preserve">classical Newtonian </w:t>
      </w:r>
      <w:r>
        <w:t>physics</w:t>
      </w:r>
      <w:r w:rsidR="004F1DD1">
        <w:t xml:space="preserve"> and thermodynamics</w:t>
      </w:r>
      <w:r>
        <w:t>.</w:t>
      </w:r>
      <w:r w:rsidR="004F1DD1">
        <w:t xml:space="preserve"> The prerequisites for Survey are a m</w:t>
      </w:r>
      <w:r w:rsidR="009D4B65">
        <w:t>inimum grade of "C" in MT</w:t>
      </w:r>
      <w:r w:rsidR="004F1DD1" w:rsidRPr="004F1DD1">
        <w:t xml:space="preserve">1303 </w:t>
      </w:r>
      <w:r w:rsidR="004F1DD1">
        <w:t xml:space="preserve">(Intermediate Algebra) </w:t>
      </w:r>
      <w:r w:rsidR="009D4B65">
        <w:t>or MT</w:t>
      </w:r>
      <w:r w:rsidR="004F1DD1" w:rsidRPr="004F1DD1">
        <w:t>1083</w:t>
      </w:r>
      <w:r w:rsidR="004F1DD1">
        <w:t xml:space="preserve"> (Applied Algebra &amp; Trig),</w:t>
      </w:r>
      <w:r w:rsidR="004F1DD1" w:rsidRPr="004F1DD1">
        <w:t xml:space="preserve"> or appropriate m</w:t>
      </w:r>
      <w:r w:rsidR="009D4B65">
        <w:t>ath placement score to enter MT</w:t>
      </w:r>
      <w:r w:rsidR="004F1DD1" w:rsidRPr="004F1DD1">
        <w:t>1403</w:t>
      </w:r>
      <w:r w:rsidR="004F1DD1">
        <w:t xml:space="preserve"> (College Algebra).</w:t>
      </w:r>
      <w:r w:rsidR="00D6343C">
        <w:t xml:space="preserve"> </w:t>
      </w:r>
      <w:r w:rsidR="00D72825">
        <w:t xml:space="preserve">Upon successful completion of this course, students should be able to: </w:t>
      </w:r>
    </w:p>
    <w:p w:rsidR="00D72825" w:rsidRDefault="00D72825" w:rsidP="00D72825">
      <w:pPr>
        <w:pStyle w:val="ListParagraph"/>
        <w:numPr>
          <w:ilvl w:val="0"/>
          <w:numId w:val="5"/>
        </w:numPr>
        <w:ind w:left="720" w:hanging="360"/>
      </w:pPr>
      <w:proofErr w:type="gramStart"/>
      <w:r>
        <w:t>explain</w:t>
      </w:r>
      <w:proofErr w:type="gramEnd"/>
      <w:r>
        <w:t xml:space="preserve"> how to use the scientific method and how to develop and test hypotheses in order to draw defensible conclusions.</w:t>
      </w:r>
    </w:p>
    <w:p w:rsidR="00D72825" w:rsidRDefault="00D72825" w:rsidP="00D72825">
      <w:pPr>
        <w:pStyle w:val="ListParagraph"/>
        <w:numPr>
          <w:ilvl w:val="0"/>
          <w:numId w:val="5"/>
        </w:numPr>
        <w:ind w:left="720" w:hanging="360"/>
      </w:pPr>
      <w:proofErr w:type="gramStart"/>
      <w:r>
        <w:t>evaluate</w:t>
      </w:r>
      <w:proofErr w:type="gramEnd"/>
      <w:r>
        <w:t xml:space="preserve"> scientific evidence and argument.</w:t>
      </w:r>
    </w:p>
    <w:p w:rsidR="008A4B4C" w:rsidRDefault="00D72825" w:rsidP="00D72825">
      <w:pPr>
        <w:pStyle w:val="ListParagraph"/>
        <w:numPr>
          <w:ilvl w:val="0"/>
          <w:numId w:val="5"/>
        </w:numPr>
        <w:ind w:left="720" w:hanging="360"/>
      </w:pPr>
      <w:proofErr w:type="gramStart"/>
      <w:r>
        <w:t>describe</w:t>
      </w:r>
      <w:proofErr w:type="gramEnd"/>
      <w:r>
        <w:t xml:space="preserve"> the basic principles of the physical universe.</w:t>
      </w:r>
    </w:p>
    <w:p w:rsidR="00581C38" w:rsidRPr="00581C38" w:rsidRDefault="00960439" w:rsidP="00960439">
      <w:pPr>
        <w:rPr>
          <w:color w:val="FF0000"/>
        </w:rPr>
      </w:pPr>
      <w:r>
        <w:t xml:space="preserve">Survey of Physical Science is </w:t>
      </w:r>
      <w:r w:rsidR="00581C38">
        <w:t xml:space="preserve">currently </w:t>
      </w:r>
      <w:r w:rsidRPr="008A4B4C">
        <w:t xml:space="preserve">taught by </w:t>
      </w:r>
      <w:r w:rsidR="00AC60E8">
        <w:t>two</w:t>
      </w:r>
      <w:r>
        <w:t xml:space="preserve"> </w:t>
      </w:r>
      <w:r w:rsidRPr="008A4B4C">
        <w:t>full-time instructor</w:t>
      </w:r>
      <w:r w:rsidR="00AC60E8">
        <w:t>s</w:t>
      </w:r>
      <w:r w:rsidRPr="008A4B4C">
        <w:t xml:space="preserve"> at the </w:t>
      </w:r>
      <w:r>
        <w:t>Union</w:t>
      </w:r>
      <w:r w:rsidRPr="008A4B4C">
        <w:t xml:space="preserve"> campus</w:t>
      </w:r>
      <w:r w:rsidR="00581C38">
        <w:t xml:space="preserve">, </w:t>
      </w:r>
      <w:r w:rsidR="00473EB5">
        <w:t>and</w:t>
      </w:r>
      <w:r w:rsidR="00581C38">
        <w:t xml:space="preserve"> has previously been taught by an adjunct instructor at the Rolla campus</w:t>
      </w:r>
      <w:r w:rsidRPr="008A4B4C">
        <w:t xml:space="preserve">.  The course is overseen by the </w:t>
      </w:r>
      <w:r>
        <w:t>Physics</w:t>
      </w:r>
      <w:r w:rsidRPr="008A4B4C">
        <w:t xml:space="preserve"> Department and cur</w:t>
      </w:r>
      <w:r w:rsidRPr="008A4B4C">
        <w:lastRenderedPageBreak/>
        <w:t xml:space="preserve">rently requires the use of a departmental syllabus containing a list of required material, as well as requiring a department mandated text, midterm, </w:t>
      </w:r>
      <w:r>
        <w:t xml:space="preserve">and </w:t>
      </w:r>
      <w:r w:rsidRPr="008A4B4C">
        <w:t>final</w:t>
      </w:r>
      <w:r>
        <w:t xml:space="preserve"> exam</w:t>
      </w:r>
      <w:r w:rsidRPr="008A4B4C">
        <w:t>.</w:t>
      </w:r>
      <w:r w:rsidRPr="00960439">
        <w:t xml:space="preserve"> </w:t>
      </w:r>
      <w:r>
        <w:t>The course</w:t>
      </w:r>
      <w:r w:rsidRPr="008A4B4C">
        <w:t xml:space="preserve"> is </w:t>
      </w:r>
      <w:r>
        <w:t>entirely</w:t>
      </w:r>
      <w:r w:rsidRPr="008A4B4C">
        <w:t xml:space="preserve"> taught in a traditional </w:t>
      </w:r>
      <w:r>
        <w:t xml:space="preserve">classroom/laboratory </w:t>
      </w:r>
      <w:r w:rsidRPr="008A4B4C">
        <w:t>format</w:t>
      </w:r>
      <w:r w:rsidR="00094EC1">
        <w:t>;</w:t>
      </w:r>
      <w:r>
        <w:t xml:space="preserve"> </w:t>
      </w:r>
      <w:r w:rsidRPr="008A4B4C">
        <w:t>online section</w:t>
      </w:r>
      <w:r>
        <w:t>s</w:t>
      </w:r>
      <w:r w:rsidRPr="008A4B4C">
        <w:t xml:space="preserve"> </w:t>
      </w:r>
      <w:r>
        <w:t>are not available</w:t>
      </w:r>
      <w:r w:rsidRPr="008A4B4C">
        <w:t>.</w:t>
      </w:r>
      <w:r w:rsidR="00581C38">
        <w:t xml:space="preserve"> </w:t>
      </w:r>
    </w:p>
    <w:p w:rsidR="00960439" w:rsidRDefault="00960439" w:rsidP="00960439">
      <w:r>
        <w:t>The success and withdrawal rates for PH</w:t>
      </w:r>
      <w:r w:rsidR="00AC60E8">
        <w:t>1125 (formerly PH</w:t>
      </w:r>
      <w:r>
        <w:t>1113/1122</w:t>
      </w:r>
      <w:r w:rsidR="00AC60E8">
        <w:t>)</w:t>
      </w:r>
      <w:r w:rsidR="00124B8E">
        <w:t xml:space="preserve"> </w:t>
      </w:r>
      <w:r>
        <w:t>are show below</w:t>
      </w:r>
      <w:r w:rsidR="00917DAA">
        <w:t>, along with enrollment numbers and pre/post test scores on the Force Concept Inventory.</w:t>
      </w:r>
    </w:p>
    <w:tbl>
      <w:tblPr>
        <w:tblW w:w="9041" w:type="dxa"/>
        <w:jc w:val="center"/>
        <w:tblLook w:val="04A0" w:firstRow="1" w:lastRow="0" w:firstColumn="1" w:lastColumn="0" w:noHBand="0" w:noVBand="1"/>
      </w:tblPr>
      <w:tblGrid>
        <w:gridCol w:w="2185"/>
        <w:gridCol w:w="857"/>
        <w:gridCol w:w="857"/>
        <w:gridCol w:w="857"/>
        <w:gridCol w:w="857"/>
        <w:gridCol w:w="857"/>
        <w:gridCol w:w="857"/>
        <w:gridCol w:w="857"/>
        <w:gridCol w:w="857"/>
      </w:tblGrid>
      <w:tr w:rsidR="00124B8E" w:rsidRPr="007A6595" w:rsidTr="00581C38">
        <w:trPr>
          <w:trHeight w:val="315"/>
          <w:jc w:val="center"/>
        </w:trPr>
        <w:tc>
          <w:tcPr>
            <w:tcW w:w="2185" w:type="dxa"/>
            <w:tcBorders>
              <w:top w:val="single" w:sz="12" w:space="0" w:color="auto"/>
              <w:left w:val="single" w:sz="12" w:space="0" w:color="auto"/>
              <w:bottom w:val="single" w:sz="12" w:space="0" w:color="auto"/>
              <w:right w:val="single" w:sz="8" w:space="0" w:color="000000"/>
            </w:tcBorders>
            <w:shd w:val="clear" w:color="auto" w:fill="auto"/>
            <w:noWrap/>
            <w:vAlign w:val="bottom"/>
            <w:hideMark/>
          </w:tcPr>
          <w:p w:rsidR="00124B8E" w:rsidRPr="00581C38" w:rsidRDefault="00124B8E" w:rsidP="0050109A">
            <w:pPr>
              <w:spacing w:after="0" w:line="240" w:lineRule="auto"/>
              <w:jc w:val="right"/>
              <w:rPr>
                <w:rFonts w:eastAsia="Times New Roman"/>
                <w:color w:val="000000"/>
              </w:rPr>
            </w:pPr>
            <w:r w:rsidRPr="00581C38">
              <w:rPr>
                <w:rFonts w:eastAsia="Times New Roman"/>
                <w:color w:val="000000"/>
              </w:rPr>
              <w:t>Academic Year</w:t>
            </w:r>
          </w:p>
        </w:tc>
        <w:tc>
          <w:tcPr>
            <w:tcW w:w="857" w:type="dxa"/>
            <w:tcBorders>
              <w:top w:val="single" w:sz="12" w:space="0" w:color="auto"/>
              <w:left w:val="nil"/>
              <w:bottom w:val="single" w:sz="12" w:space="0" w:color="auto"/>
              <w:right w:val="single" w:sz="4" w:space="0" w:color="auto"/>
            </w:tcBorders>
            <w:shd w:val="clear" w:color="auto" w:fill="auto"/>
            <w:noWrap/>
            <w:vAlign w:val="bottom"/>
            <w:hideMark/>
          </w:tcPr>
          <w:p w:rsidR="00124B8E" w:rsidRPr="00581C38" w:rsidRDefault="00124B8E" w:rsidP="0050109A">
            <w:pPr>
              <w:spacing w:after="0" w:line="240" w:lineRule="auto"/>
              <w:jc w:val="center"/>
              <w:rPr>
                <w:rFonts w:eastAsia="Times New Roman"/>
                <w:color w:val="000000"/>
              </w:rPr>
            </w:pPr>
            <w:r w:rsidRPr="00581C38">
              <w:rPr>
                <w:rFonts w:eastAsia="Times New Roman"/>
                <w:color w:val="000000"/>
              </w:rPr>
              <w:t>07/08</w:t>
            </w:r>
          </w:p>
        </w:tc>
        <w:tc>
          <w:tcPr>
            <w:tcW w:w="857" w:type="dxa"/>
            <w:tcBorders>
              <w:top w:val="single" w:sz="12" w:space="0" w:color="auto"/>
              <w:left w:val="nil"/>
              <w:bottom w:val="single" w:sz="12" w:space="0" w:color="auto"/>
              <w:right w:val="single" w:sz="4" w:space="0" w:color="auto"/>
            </w:tcBorders>
            <w:shd w:val="clear" w:color="auto" w:fill="auto"/>
            <w:noWrap/>
            <w:vAlign w:val="bottom"/>
            <w:hideMark/>
          </w:tcPr>
          <w:p w:rsidR="00124B8E" w:rsidRPr="00581C38" w:rsidRDefault="00124B8E" w:rsidP="0050109A">
            <w:pPr>
              <w:spacing w:after="0" w:line="240" w:lineRule="auto"/>
              <w:jc w:val="center"/>
              <w:rPr>
                <w:rFonts w:eastAsia="Times New Roman"/>
                <w:color w:val="000000"/>
              </w:rPr>
            </w:pPr>
            <w:r w:rsidRPr="00581C38">
              <w:rPr>
                <w:rFonts w:eastAsia="Times New Roman"/>
                <w:color w:val="000000"/>
              </w:rPr>
              <w:t>08/09</w:t>
            </w:r>
          </w:p>
        </w:tc>
        <w:tc>
          <w:tcPr>
            <w:tcW w:w="857" w:type="dxa"/>
            <w:tcBorders>
              <w:top w:val="single" w:sz="12" w:space="0" w:color="auto"/>
              <w:left w:val="nil"/>
              <w:bottom w:val="single" w:sz="12" w:space="0" w:color="auto"/>
              <w:right w:val="single" w:sz="4" w:space="0" w:color="auto"/>
            </w:tcBorders>
            <w:shd w:val="clear" w:color="auto" w:fill="auto"/>
            <w:noWrap/>
            <w:vAlign w:val="bottom"/>
            <w:hideMark/>
          </w:tcPr>
          <w:p w:rsidR="00124B8E" w:rsidRPr="00581C38" w:rsidRDefault="00124B8E" w:rsidP="0050109A">
            <w:pPr>
              <w:spacing w:after="0" w:line="240" w:lineRule="auto"/>
              <w:jc w:val="center"/>
              <w:rPr>
                <w:rFonts w:eastAsia="Times New Roman"/>
                <w:color w:val="000000"/>
              </w:rPr>
            </w:pPr>
            <w:r w:rsidRPr="00581C38">
              <w:rPr>
                <w:rFonts w:eastAsia="Times New Roman"/>
                <w:color w:val="000000"/>
              </w:rPr>
              <w:t>09/10</w:t>
            </w:r>
          </w:p>
        </w:tc>
        <w:tc>
          <w:tcPr>
            <w:tcW w:w="857" w:type="dxa"/>
            <w:tcBorders>
              <w:top w:val="single" w:sz="12" w:space="0" w:color="auto"/>
              <w:left w:val="nil"/>
              <w:bottom w:val="single" w:sz="12" w:space="0" w:color="auto"/>
              <w:right w:val="single" w:sz="4" w:space="0" w:color="auto"/>
            </w:tcBorders>
            <w:shd w:val="clear" w:color="auto" w:fill="auto"/>
            <w:noWrap/>
            <w:vAlign w:val="bottom"/>
            <w:hideMark/>
          </w:tcPr>
          <w:p w:rsidR="00124B8E" w:rsidRPr="00581C38" w:rsidRDefault="00124B8E" w:rsidP="0050109A">
            <w:pPr>
              <w:spacing w:after="0" w:line="240" w:lineRule="auto"/>
              <w:jc w:val="center"/>
              <w:rPr>
                <w:rFonts w:eastAsia="Times New Roman"/>
                <w:color w:val="000000"/>
              </w:rPr>
            </w:pPr>
            <w:r w:rsidRPr="00581C38">
              <w:rPr>
                <w:rFonts w:eastAsia="Times New Roman"/>
                <w:color w:val="000000"/>
              </w:rPr>
              <w:t>10/11</w:t>
            </w:r>
          </w:p>
        </w:tc>
        <w:tc>
          <w:tcPr>
            <w:tcW w:w="857" w:type="dxa"/>
            <w:tcBorders>
              <w:top w:val="single" w:sz="12" w:space="0" w:color="auto"/>
              <w:left w:val="nil"/>
              <w:bottom w:val="single" w:sz="12" w:space="0" w:color="auto"/>
              <w:right w:val="single" w:sz="4" w:space="0" w:color="auto"/>
            </w:tcBorders>
            <w:shd w:val="clear" w:color="auto" w:fill="auto"/>
            <w:noWrap/>
            <w:vAlign w:val="bottom"/>
            <w:hideMark/>
          </w:tcPr>
          <w:p w:rsidR="00124B8E" w:rsidRPr="00581C38" w:rsidRDefault="00124B8E" w:rsidP="0050109A">
            <w:pPr>
              <w:spacing w:after="0" w:line="240" w:lineRule="auto"/>
              <w:jc w:val="center"/>
              <w:rPr>
                <w:rFonts w:eastAsia="Times New Roman"/>
                <w:color w:val="000000"/>
              </w:rPr>
            </w:pPr>
            <w:r w:rsidRPr="00581C38">
              <w:rPr>
                <w:rFonts w:eastAsia="Times New Roman"/>
                <w:color w:val="000000"/>
              </w:rPr>
              <w:t>11/12</w:t>
            </w:r>
          </w:p>
        </w:tc>
        <w:tc>
          <w:tcPr>
            <w:tcW w:w="857" w:type="dxa"/>
            <w:tcBorders>
              <w:top w:val="single" w:sz="12" w:space="0" w:color="auto"/>
              <w:left w:val="nil"/>
              <w:bottom w:val="single" w:sz="12" w:space="0" w:color="auto"/>
              <w:right w:val="single" w:sz="4" w:space="0" w:color="auto"/>
            </w:tcBorders>
            <w:shd w:val="clear" w:color="auto" w:fill="auto"/>
            <w:noWrap/>
            <w:vAlign w:val="bottom"/>
            <w:hideMark/>
          </w:tcPr>
          <w:p w:rsidR="00124B8E" w:rsidRPr="00581C38" w:rsidRDefault="00124B8E" w:rsidP="0050109A">
            <w:pPr>
              <w:spacing w:after="0" w:line="240" w:lineRule="auto"/>
              <w:jc w:val="center"/>
              <w:rPr>
                <w:rFonts w:eastAsia="Times New Roman"/>
                <w:color w:val="000000"/>
              </w:rPr>
            </w:pPr>
            <w:r w:rsidRPr="00581C38">
              <w:rPr>
                <w:rFonts w:eastAsia="Times New Roman"/>
                <w:color w:val="000000"/>
              </w:rPr>
              <w:t>12/13</w:t>
            </w:r>
          </w:p>
        </w:tc>
        <w:tc>
          <w:tcPr>
            <w:tcW w:w="857" w:type="dxa"/>
            <w:tcBorders>
              <w:top w:val="single" w:sz="12" w:space="0" w:color="auto"/>
              <w:left w:val="nil"/>
              <w:bottom w:val="single" w:sz="12" w:space="0" w:color="auto"/>
              <w:right w:val="single" w:sz="8" w:space="0" w:color="auto"/>
            </w:tcBorders>
            <w:shd w:val="clear" w:color="auto" w:fill="auto"/>
            <w:noWrap/>
            <w:vAlign w:val="bottom"/>
            <w:hideMark/>
          </w:tcPr>
          <w:p w:rsidR="00124B8E" w:rsidRPr="00581C38" w:rsidRDefault="00124B8E" w:rsidP="0050109A">
            <w:pPr>
              <w:spacing w:after="0" w:line="240" w:lineRule="auto"/>
              <w:jc w:val="center"/>
              <w:rPr>
                <w:rFonts w:eastAsia="Times New Roman"/>
                <w:color w:val="000000"/>
              </w:rPr>
            </w:pPr>
            <w:r w:rsidRPr="00581C38">
              <w:rPr>
                <w:rFonts w:eastAsia="Times New Roman"/>
                <w:color w:val="000000"/>
              </w:rPr>
              <w:t>13/14</w:t>
            </w:r>
          </w:p>
        </w:tc>
        <w:tc>
          <w:tcPr>
            <w:tcW w:w="857" w:type="dxa"/>
            <w:tcBorders>
              <w:top w:val="single" w:sz="12" w:space="0" w:color="auto"/>
              <w:left w:val="single" w:sz="8" w:space="0" w:color="auto"/>
              <w:bottom w:val="single" w:sz="12" w:space="0" w:color="auto"/>
              <w:right w:val="single" w:sz="12" w:space="0" w:color="auto"/>
            </w:tcBorders>
            <w:vAlign w:val="bottom"/>
          </w:tcPr>
          <w:p w:rsidR="00124B8E" w:rsidRPr="00581C38" w:rsidRDefault="00124B8E" w:rsidP="00124B8E">
            <w:pPr>
              <w:spacing w:after="0" w:line="240" w:lineRule="auto"/>
              <w:jc w:val="center"/>
              <w:rPr>
                <w:rFonts w:eastAsia="Times New Roman"/>
                <w:color w:val="000000"/>
              </w:rPr>
            </w:pPr>
            <w:r w:rsidRPr="00581C38">
              <w:rPr>
                <w:rFonts w:eastAsia="Times New Roman"/>
                <w:color w:val="000000"/>
              </w:rPr>
              <w:t>14/15</w:t>
            </w:r>
          </w:p>
        </w:tc>
      </w:tr>
      <w:tr w:rsidR="00124B8E" w:rsidRPr="00C17B3A" w:rsidTr="00581C38">
        <w:trPr>
          <w:trHeight w:val="300"/>
          <w:jc w:val="center"/>
        </w:trPr>
        <w:tc>
          <w:tcPr>
            <w:tcW w:w="2185" w:type="dxa"/>
            <w:tcBorders>
              <w:top w:val="single" w:sz="12" w:space="0" w:color="auto"/>
              <w:left w:val="single" w:sz="12" w:space="0" w:color="auto"/>
              <w:bottom w:val="single" w:sz="12" w:space="0" w:color="auto"/>
              <w:right w:val="nil"/>
            </w:tcBorders>
            <w:shd w:val="clear" w:color="auto" w:fill="auto"/>
            <w:noWrap/>
            <w:vAlign w:val="bottom"/>
            <w:hideMark/>
          </w:tcPr>
          <w:p w:rsidR="00124B8E" w:rsidRPr="00581C38" w:rsidRDefault="00581C38" w:rsidP="0050109A">
            <w:pPr>
              <w:spacing w:after="0" w:line="240" w:lineRule="auto"/>
              <w:jc w:val="right"/>
              <w:rPr>
                <w:rFonts w:eastAsia="Times New Roman"/>
                <w:color w:val="000000"/>
              </w:rPr>
            </w:pPr>
            <w:r w:rsidRPr="00581C38">
              <w:rPr>
                <w:rFonts w:eastAsia="Times New Roman"/>
                <w:color w:val="000000"/>
              </w:rPr>
              <w:t xml:space="preserve">Enrollment in </w:t>
            </w:r>
            <w:r w:rsidR="00124B8E" w:rsidRPr="00581C38">
              <w:rPr>
                <w:rFonts w:eastAsia="Times New Roman"/>
                <w:color w:val="000000"/>
              </w:rPr>
              <w:t>Survey</w:t>
            </w:r>
          </w:p>
        </w:tc>
        <w:tc>
          <w:tcPr>
            <w:tcW w:w="857" w:type="dxa"/>
            <w:tcBorders>
              <w:top w:val="single" w:sz="12" w:space="0" w:color="auto"/>
              <w:left w:val="single" w:sz="8" w:space="0" w:color="auto"/>
              <w:bottom w:val="single" w:sz="12" w:space="0" w:color="auto"/>
              <w:right w:val="single" w:sz="4" w:space="0" w:color="auto"/>
            </w:tcBorders>
            <w:shd w:val="clear" w:color="auto" w:fill="auto"/>
            <w:noWrap/>
            <w:vAlign w:val="bottom"/>
            <w:hideMark/>
          </w:tcPr>
          <w:p w:rsidR="00124B8E" w:rsidRPr="00581C38" w:rsidRDefault="00124B8E" w:rsidP="0050109A">
            <w:pPr>
              <w:spacing w:after="0" w:line="240" w:lineRule="auto"/>
              <w:jc w:val="center"/>
              <w:rPr>
                <w:rFonts w:eastAsia="Times New Roman"/>
                <w:color w:val="000000"/>
              </w:rPr>
            </w:pPr>
            <w:r w:rsidRPr="00581C38">
              <w:rPr>
                <w:rFonts w:eastAsia="Times New Roman"/>
                <w:color w:val="000000"/>
              </w:rPr>
              <w:t>60</w:t>
            </w:r>
          </w:p>
        </w:tc>
        <w:tc>
          <w:tcPr>
            <w:tcW w:w="857" w:type="dxa"/>
            <w:tcBorders>
              <w:top w:val="single" w:sz="12" w:space="0" w:color="auto"/>
              <w:left w:val="nil"/>
              <w:bottom w:val="single" w:sz="12" w:space="0" w:color="auto"/>
              <w:right w:val="single" w:sz="4" w:space="0" w:color="auto"/>
            </w:tcBorders>
            <w:shd w:val="clear" w:color="auto" w:fill="auto"/>
            <w:noWrap/>
            <w:vAlign w:val="bottom"/>
            <w:hideMark/>
          </w:tcPr>
          <w:p w:rsidR="00124B8E" w:rsidRPr="00581C38" w:rsidRDefault="00124B8E" w:rsidP="0050109A">
            <w:pPr>
              <w:spacing w:after="0" w:line="240" w:lineRule="auto"/>
              <w:jc w:val="center"/>
              <w:rPr>
                <w:rFonts w:eastAsia="Times New Roman"/>
                <w:color w:val="000000"/>
              </w:rPr>
            </w:pPr>
            <w:r w:rsidRPr="00581C38">
              <w:rPr>
                <w:rFonts w:eastAsia="Times New Roman"/>
                <w:color w:val="000000"/>
              </w:rPr>
              <w:t>62</w:t>
            </w:r>
          </w:p>
        </w:tc>
        <w:tc>
          <w:tcPr>
            <w:tcW w:w="857" w:type="dxa"/>
            <w:tcBorders>
              <w:top w:val="single" w:sz="12" w:space="0" w:color="auto"/>
              <w:left w:val="nil"/>
              <w:bottom w:val="single" w:sz="12" w:space="0" w:color="auto"/>
              <w:right w:val="single" w:sz="4" w:space="0" w:color="auto"/>
            </w:tcBorders>
            <w:shd w:val="clear" w:color="auto" w:fill="auto"/>
            <w:noWrap/>
            <w:vAlign w:val="bottom"/>
            <w:hideMark/>
          </w:tcPr>
          <w:p w:rsidR="00124B8E" w:rsidRPr="00581C38" w:rsidRDefault="00124B8E" w:rsidP="0050109A">
            <w:pPr>
              <w:spacing w:after="0" w:line="240" w:lineRule="auto"/>
              <w:jc w:val="center"/>
              <w:rPr>
                <w:rFonts w:eastAsia="Times New Roman"/>
                <w:color w:val="000000"/>
              </w:rPr>
            </w:pPr>
            <w:r w:rsidRPr="00581C38">
              <w:rPr>
                <w:rFonts w:eastAsia="Times New Roman"/>
                <w:color w:val="000000"/>
              </w:rPr>
              <w:t>73</w:t>
            </w:r>
          </w:p>
        </w:tc>
        <w:tc>
          <w:tcPr>
            <w:tcW w:w="857" w:type="dxa"/>
            <w:tcBorders>
              <w:top w:val="single" w:sz="12" w:space="0" w:color="auto"/>
              <w:left w:val="nil"/>
              <w:bottom w:val="single" w:sz="12" w:space="0" w:color="auto"/>
              <w:right w:val="single" w:sz="4" w:space="0" w:color="auto"/>
            </w:tcBorders>
            <w:shd w:val="clear" w:color="auto" w:fill="auto"/>
            <w:noWrap/>
            <w:vAlign w:val="bottom"/>
            <w:hideMark/>
          </w:tcPr>
          <w:p w:rsidR="00124B8E" w:rsidRPr="00581C38" w:rsidRDefault="00124B8E" w:rsidP="0050109A">
            <w:pPr>
              <w:spacing w:after="0" w:line="240" w:lineRule="auto"/>
              <w:jc w:val="center"/>
              <w:rPr>
                <w:rFonts w:eastAsia="Times New Roman"/>
                <w:color w:val="000000"/>
              </w:rPr>
            </w:pPr>
            <w:r w:rsidRPr="00581C38">
              <w:rPr>
                <w:rFonts w:eastAsia="Times New Roman"/>
                <w:color w:val="000000"/>
              </w:rPr>
              <w:t>53</w:t>
            </w:r>
          </w:p>
        </w:tc>
        <w:tc>
          <w:tcPr>
            <w:tcW w:w="857" w:type="dxa"/>
            <w:tcBorders>
              <w:top w:val="single" w:sz="12" w:space="0" w:color="auto"/>
              <w:left w:val="nil"/>
              <w:bottom w:val="single" w:sz="12" w:space="0" w:color="auto"/>
              <w:right w:val="single" w:sz="4" w:space="0" w:color="auto"/>
            </w:tcBorders>
            <w:shd w:val="clear" w:color="auto" w:fill="auto"/>
            <w:noWrap/>
            <w:vAlign w:val="bottom"/>
            <w:hideMark/>
          </w:tcPr>
          <w:p w:rsidR="00124B8E" w:rsidRPr="00581C38" w:rsidRDefault="00124B8E" w:rsidP="0050109A">
            <w:pPr>
              <w:spacing w:after="0" w:line="240" w:lineRule="auto"/>
              <w:jc w:val="center"/>
              <w:rPr>
                <w:rFonts w:eastAsia="Times New Roman"/>
                <w:color w:val="000000"/>
              </w:rPr>
            </w:pPr>
            <w:r w:rsidRPr="00581C38">
              <w:rPr>
                <w:rFonts w:eastAsia="Times New Roman"/>
                <w:color w:val="000000"/>
              </w:rPr>
              <w:t>30</w:t>
            </w:r>
          </w:p>
        </w:tc>
        <w:tc>
          <w:tcPr>
            <w:tcW w:w="857" w:type="dxa"/>
            <w:tcBorders>
              <w:top w:val="single" w:sz="12" w:space="0" w:color="auto"/>
              <w:left w:val="nil"/>
              <w:bottom w:val="single" w:sz="12" w:space="0" w:color="auto"/>
              <w:right w:val="single" w:sz="4" w:space="0" w:color="auto"/>
            </w:tcBorders>
            <w:shd w:val="clear" w:color="auto" w:fill="auto"/>
            <w:noWrap/>
            <w:vAlign w:val="bottom"/>
            <w:hideMark/>
          </w:tcPr>
          <w:p w:rsidR="00124B8E" w:rsidRPr="00581C38" w:rsidRDefault="00124B8E" w:rsidP="0050109A">
            <w:pPr>
              <w:spacing w:after="0" w:line="240" w:lineRule="auto"/>
              <w:jc w:val="center"/>
              <w:rPr>
                <w:rFonts w:eastAsia="Times New Roman"/>
                <w:color w:val="000000"/>
              </w:rPr>
            </w:pPr>
            <w:r w:rsidRPr="00581C38">
              <w:rPr>
                <w:rFonts w:eastAsia="Times New Roman"/>
                <w:color w:val="000000"/>
              </w:rPr>
              <w:t>33</w:t>
            </w:r>
          </w:p>
        </w:tc>
        <w:tc>
          <w:tcPr>
            <w:tcW w:w="857" w:type="dxa"/>
            <w:tcBorders>
              <w:top w:val="single" w:sz="12" w:space="0" w:color="auto"/>
              <w:left w:val="nil"/>
              <w:bottom w:val="single" w:sz="12" w:space="0" w:color="auto"/>
              <w:right w:val="single" w:sz="8" w:space="0" w:color="auto"/>
            </w:tcBorders>
            <w:shd w:val="clear" w:color="auto" w:fill="auto"/>
            <w:noWrap/>
            <w:vAlign w:val="bottom"/>
            <w:hideMark/>
          </w:tcPr>
          <w:p w:rsidR="00124B8E" w:rsidRPr="00581C38" w:rsidRDefault="00124B8E" w:rsidP="0050109A">
            <w:pPr>
              <w:spacing w:after="0" w:line="240" w:lineRule="auto"/>
              <w:jc w:val="center"/>
              <w:rPr>
                <w:rFonts w:eastAsia="Times New Roman"/>
                <w:color w:val="000000"/>
              </w:rPr>
            </w:pPr>
            <w:r w:rsidRPr="00581C38">
              <w:rPr>
                <w:rFonts w:eastAsia="Times New Roman"/>
                <w:color w:val="000000"/>
              </w:rPr>
              <w:t>41</w:t>
            </w:r>
          </w:p>
        </w:tc>
        <w:tc>
          <w:tcPr>
            <w:tcW w:w="857" w:type="dxa"/>
            <w:tcBorders>
              <w:top w:val="single" w:sz="12" w:space="0" w:color="auto"/>
              <w:left w:val="single" w:sz="8" w:space="0" w:color="auto"/>
              <w:bottom w:val="single" w:sz="12" w:space="0" w:color="auto"/>
              <w:right w:val="single" w:sz="12" w:space="0" w:color="auto"/>
            </w:tcBorders>
            <w:vAlign w:val="bottom"/>
          </w:tcPr>
          <w:p w:rsidR="00124B8E" w:rsidRPr="00581C38" w:rsidRDefault="00124B8E" w:rsidP="00124B8E">
            <w:pPr>
              <w:spacing w:after="0" w:line="240" w:lineRule="auto"/>
              <w:jc w:val="center"/>
              <w:rPr>
                <w:rFonts w:eastAsia="Times New Roman"/>
                <w:color w:val="000000"/>
              </w:rPr>
            </w:pPr>
            <w:r w:rsidRPr="00581C38">
              <w:rPr>
                <w:rFonts w:eastAsia="Times New Roman"/>
                <w:color w:val="000000"/>
              </w:rPr>
              <w:t>24</w:t>
            </w:r>
          </w:p>
        </w:tc>
      </w:tr>
    </w:tbl>
    <w:p w:rsidR="00124B8E" w:rsidRDefault="00830D21" w:rsidP="00960439">
      <w:r w:rsidRPr="007A6595">
        <w:rPr>
          <w:noProof/>
          <w:color w:val="FF0000"/>
        </w:rPr>
        <w:drawing>
          <wp:anchor distT="0" distB="0" distL="114300" distR="114300" simplePos="0" relativeHeight="251659264" behindDoc="0" locked="0" layoutInCell="1" allowOverlap="1" wp14:anchorId="598D6FB9" wp14:editId="2203F6E8">
            <wp:simplePos x="0" y="0"/>
            <wp:positionH relativeFrom="column">
              <wp:posOffset>128016</wp:posOffset>
            </wp:positionH>
            <wp:positionV relativeFrom="paragraph">
              <wp:posOffset>268859</wp:posOffset>
            </wp:positionV>
            <wp:extent cx="4572000" cy="2651760"/>
            <wp:effectExtent l="0" t="0" r="19050" b="1524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right" w:tblpY="-56"/>
        <w:tblW w:w="2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8"/>
        <w:gridCol w:w="597"/>
        <w:gridCol w:w="606"/>
        <w:gridCol w:w="597"/>
      </w:tblGrid>
      <w:tr w:rsidR="00830D21" w:rsidRPr="00917DAA" w:rsidTr="00830D21">
        <w:trPr>
          <w:trHeight w:val="315"/>
        </w:trPr>
        <w:tc>
          <w:tcPr>
            <w:tcW w:w="2468" w:type="dxa"/>
            <w:gridSpan w:val="4"/>
            <w:shd w:val="clear" w:color="auto" w:fill="auto"/>
            <w:noWrap/>
            <w:vAlign w:val="bottom"/>
            <w:hideMark/>
          </w:tcPr>
          <w:p w:rsidR="00830D21" w:rsidRPr="00917DAA" w:rsidRDefault="00830D21" w:rsidP="00830D21">
            <w:pPr>
              <w:spacing w:after="0" w:line="240" w:lineRule="auto"/>
              <w:jc w:val="center"/>
              <w:rPr>
                <w:rFonts w:ascii="Calibri" w:eastAsia="Times New Roman" w:hAnsi="Calibri" w:cs="Times New Roman"/>
                <w:color w:val="000000"/>
              </w:rPr>
            </w:pPr>
            <w:r w:rsidRPr="00917DAA">
              <w:rPr>
                <w:rFonts w:ascii="Calibri" w:eastAsia="Times New Roman" w:hAnsi="Calibri" w:cs="Times New Roman"/>
                <w:color w:val="000000"/>
              </w:rPr>
              <w:t>Survey FCI Scores</w:t>
            </w:r>
          </w:p>
        </w:tc>
      </w:tr>
      <w:tr w:rsidR="00830D21" w:rsidRPr="00917DAA" w:rsidTr="00830D21">
        <w:trPr>
          <w:trHeight w:val="300"/>
        </w:trPr>
        <w:tc>
          <w:tcPr>
            <w:tcW w:w="668" w:type="dxa"/>
            <w:shd w:val="clear" w:color="auto" w:fill="auto"/>
            <w:noWrap/>
            <w:vAlign w:val="bottom"/>
            <w:hideMark/>
          </w:tcPr>
          <w:p w:rsidR="00830D21" w:rsidRPr="00917DAA" w:rsidRDefault="00830D21" w:rsidP="00830D21">
            <w:pPr>
              <w:spacing w:after="0" w:line="240" w:lineRule="auto"/>
              <w:jc w:val="right"/>
              <w:rPr>
                <w:rFonts w:ascii="Calibri" w:eastAsia="Times New Roman" w:hAnsi="Calibri" w:cs="Times New Roman"/>
                <w:color w:val="000000"/>
              </w:rPr>
            </w:pPr>
            <w:r w:rsidRPr="00917DAA">
              <w:rPr>
                <w:rFonts w:ascii="Calibri" w:eastAsia="Times New Roman" w:hAnsi="Calibri" w:cs="Times New Roman"/>
                <w:color w:val="000000"/>
              </w:rPr>
              <w:t>Sem.</w:t>
            </w:r>
          </w:p>
        </w:tc>
        <w:tc>
          <w:tcPr>
            <w:tcW w:w="597" w:type="dxa"/>
            <w:shd w:val="clear" w:color="auto" w:fill="auto"/>
            <w:noWrap/>
            <w:vAlign w:val="bottom"/>
            <w:hideMark/>
          </w:tcPr>
          <w:p w:rsidR="00830D21" w:rsidRPr="00917DAA" w:rsidRDefault="00830D21" w:rsidP="00830D21">
            <w:pPr>
              <w:spacing w:after="0" w:line="240" w:lineRule="auto"/>
              <w:rPr>
                <w:rFonts w:ascii="Calibri" w:eastAsia="Times New Roman" w:hAnsi="Calibri" w:cs="Times New Roman"/>
                <w:color w:val="000000"/>
              </w:rPr>
            </w:pPr>
            <w:r w:rsidRPr="00917DAA">
              <w:rPr>
                <w:rFonts w:ascii="Calibri" w:eastAsia="Times New Roman" w:hAnsi="Calibri" w:cs="Times New Roman"/>
                <w:color w:val="000000"/>
              </w:rPr>
              <w:t>Pre</w:t>
            </w:r>
          </w:p>
        </w:tc>
        <w:tc>
          <w:tcPr>
            <w:tcW w:w="606" w:type="dxa"/>
            <w:shd w:val="clear" w:color="auto" w:fill="auto"/>
            <w:noWrap/>
            <w:vAlign w:val="bottom"/>
            <w:hideMark/>
          </w:tcPr>
          <w:p w:rsidR="00830D21" w:rsidRPr="00917DAA" w:rsidRDefault="00830D21" w:rsidP="00830D21">
            <w:pPr>
              <w:spacing w:after="0" w:line="240" w:lineRule="auto"/>
              <w:rPr>
                <w:rFonts w:ascii="Calibri" w:eastAsia="Times New Roman" w:hAnsi="Calibri" w:cs="Times New Roman"/>
                <w:color w:val="000000"/>
              </w:rPr>
            </w:pPr>
            <w:r w:rsidRPr="00917DAA">
              <w:rPr>
                <w:rFonts w:ascii="Calibri" w:eastAsia="Times New Roman" w:hAnsi="Calibri" w:cs="Times New Roman"/>
                <w:color w:val="000000"/>
              </w:rPr>
              <w:t>Post</w:t>
            </w:r>
          </w:p>
        </w:tc>
        <w:tc>
          <w:tcPr>
            <w:tcW w:w="597" w:type="dxa"/>
            <w:shd w:val="clear" w:color="auto" w:fill="auto"/>
            <w:noWrap/>
            <w:vAlign w:val="bottom"/>
            <w:hideMark/>
          </w:tcPr>
          <w:p w:rsidR="00830D21" w:rsidRPr="00917DAA" w:rsidRDefault="00830D21" w:rsidP="00830D21">
            <w:pPr>
              <w:spacing w:after="0" w:line="240" w:lineRule="auto"/>
              <w:jc w:val="center"/>
              <w:rPr>
                <w:rFonts w:ascii="Calibri" w:eastAsia="Times New Roman" w:hAnsi="Calibri" w:cs="Times New Roman"/>
              </w:rPr>
            </w:pPr>
            <w:r w:rsidRPr="00917DAA">
              <w:rPr>
                <w:rFonts w:ascii="Calibri" w:eastAsia="Times New Roman" w:hAnsi="Calibri" w:cs="Times New Roman"/>
              </w:rPr>
              <w:t>Δ</w:t>
            </w:r>
          </w:p>
        </w:tc>
      </w:tr>
      <w:tr w:rsidR="00830D21" w:rsidRPr="00917DAA" w:rsidTr="00830D21">
        <w:trPr>
          <w:trHeight w:val="300"/>
        </w:trPr>
        <w:tc>
          <w:tcPr>
            <w:tcW w:w="668" w:type="dxa"/>
            <w:shd w:val="clear" w:color="auto" w:fill="auto"/>
            <w:noWrap/>
            <w:vAlign w:val="bottom"/>
            <w:hideMark/>
          </w:tcPr>
          <w:p w:rsidR="00830D21" w:rsidRPr="00917DAA" w:rsidRDefault="00830D21" w:rsidP="00830D21">
            <w:pPr>
              <w:spacing w:after="0" w:line="240" w:lineRule="auto"/>
              <w:jc w:val="right"/>
              <w:rPr>
                <w:rFonts w:ascii="Calibri" w:eastAsia="Times New Roman" w:hAnsi="Calibri" w:cs="Times New Roman"/>
                <w:color w:val="000000"/>
              </w:rPr>
            </w:pPr>
            <w:r w:rsidRPr="00917DAA">
              <w:rPr>
                <w:rFonts w:ascii="Calibri" w:eastAsia="Times New Roman" w:hAnsi="Calibri" w:cs="Times New Roman"/>
                <w:color w:val="000000"/>
              </w:rPr>
              <w:t>SP14</w:t>
            </w:r>
          </w:p>
        </w:tc>
        <w:tc>
          <w:tcPr>
            <w:tcW w:w="597" w:type="dxa"/>
            <w:shd w:val="clear" w:color="auto" w:fill="auto"/>
            <w:noWrap/>
            <w:vAlign w:val="bottom"/>
            <w:hideMark/>
          </w:tcPr>
          <w:p w:rsidR="00830D21" w:rsidRPr="00917DAA" w:rsidRDefault="00830D21" w:rsidP="00830D21">
            <w:pPr>
              <w:spacing w:after="0" w:line="240" w:lineRule="auto"/>
              <w:jc w:val="center"/>
              <w:rPr>
                <w:rFonts w:ascii="Calibri" w:eastAsia="Times New Roman" w:hAnsi="Calibri" w:cs="Times New Roman"/>
                <w:color w:val="000000"/>
              </w:rPr>
            </w:pPr>
            <w:r w:rsidRPr="00917DAA">
              <w:rPr>
                <w:rFonts w:ascii="Calibri" w:eastAsia="Times New Roman" w:hAnsi="Calibri" w:cs="Times New Roman"/>
                <w:color w:val="000000"/>
              </w:rPr>
              <w:t>36%</w:t>
            </w:r>
          </w:p>
        </w:tc>
        <w:tc>
          <w:tcPr>
            <w:tcW w:w="606" w:type="dxa"/>
            <w:shd w:val="clear" w:color="auto" w:fill="auto"/>
            <w:noWrap/>
            <w:vAlign w:val="bottom"/>
            <w:hideMark/>
          </w:tcPr>
          <w:p w:rsidR="00830D21" w:rsidRPr="00917DAA" w:rsidRDefault="00830D21" w:rsidP="00830D21">
            <w:pPr>
              <w:spacing w:after="0" w:line="240" w:lineRule="auto"/>
              <w:jc w:val="center"/>
              <w:rPr>
                <w:rFonts w:ascii="Calibri" w:eastAsia="Times New Roman" w:hAnsi="Calibri" w:cs="Times New Roman"/>
                <w:color w:val="000000"/>
              </w:rPr>
            </w:pPr>
            <w:r w:rsidRPr="00917DAA">
              <w:rPr>
                <w:rFonts w:ascii="Calibri" w:eastAsia="Times New Roman" w:hAnsi="Calibri" w:cs="Times New Roman"/>
                <w:color w:val="000000"/>
              </w:rPr>
              <w:t>43%</w:t>
            </w:r>
          </w:p>
        </w:tc>
        <w:tc>
          <w:tcPr>
            <w:tcW w:w="597" w:type="dxa"/>
            <w:shd w:val="clear" w:color="auto" w:fill="auto"/>
            <w:noWrap/>
            <w:vAlign w:val="bottom"/>
            <w:hideMark/>
          </w:tcPr>
          <w:p w:rsidR="00830D21" w:rsidRPr="00917DAA" w:rsidRDefault="00830D21" w:rsidP="00830D21">
            <w:pPr>
              <w:spacing w:after="0" w:line="240" w:lineRule="auto"/>
              <w:jc w:val="center"/>
              <w:rPr>
                <w:rFonts w:ascii="Calibri" w:eastAsia="Times New Roman" w:hAnsi="Calibri" w:cs="Times New Roman"/>
                <w:color w:val="000000"/>
              </w:rPr>
            </w:pPr>
            <w:r w:rsidRPr="00917DAA">
              <w:rPr>
                <w:rFonts w:ascii="Calibri" w:eastAsia="Times New Roman" w:hAnsi="Calibri" w:cs="Times New Roman"/>
                <w:color w:val="000000"/>
              </w:rPr>
              <w:t>8%</w:t>
            </w:r>
          </w:p>
        </w:tc>
      </w:tr>
      <w:tr w:rsidR="00830D21" w:rsidRPr="00917DAA" w:rsidTr="00830D21">
        <w:trPr>
          <w:trHeight w:val="300"/>
        </w:trPr>
        <w:tc>
          <w:tcPr>
            <w:tcW w:w="668" w:type="dxa"/>
            <w:shd w:val="clear" w:color="auto" w:fill="auto"/>
            <w:noWrap/>
            <w:vAlign w:val="bottom"/>
            <w:hideMark/>
          </w:tcPr>
          <w:p w:rsidR="00830D21" w:rsidRPr="00917DAA" w:rsidRDefault="00830D21" w:rsidP="00830D21">
            <w:pPr>
              <w:spacing w:after="0" w:line="240" w:lineRule="auto"/>
              <w:jc w:val="right"/>
              <w:rPr>
                <w:rFonts w:ascii="Calibri" w:eastAsia="Times New Roman" w:hAnsi="Calibri" w:cs="Times New Roman"/>
                <w:color w:val="000000"/>
              </w:rPr>
            </w:pPr>
            <w:r w:rsidRPr="00917DAA">
              <w:rPr>
                <w:rFonts w:ascii="Calibri" w:eastAsia="Times New Roman" w:hAnsi="Calibri" w:cs="Times New Roman"/>
                <w:color w:val="000000"/>
              </w:rPr>
              <w:t>FA14</w:t>
            </w:r>
          </w:p>
        </w:tc>
        <w:tc>
          <w:tcPr>
            <w:tcW w:w="597" w:type="dxa"/>
            <w:shd w:val="clear" w:color="auto" w:fill="auto"/>
            <w:noWrap/>
            <w:vAlign w:val="bottom"/>
            <w:hideMark/>
          </w:tcPr>
          <w:p w:rsidR="00830D21" w:rsidRPr="00917DAA" w:rsidRDefault="00830D21" w:rsidP="00830D21">
            <w:pPr>
              <w:spacing w:after="0" w:line="240" w:lineRule="auto"/>
              <w:jc w:val="center"/>
              <w:rPr>
                <w:rFonts w:ascii="Calibri" w:eastAsia="Times New Roman" w:hAnsi="Calibri" w:cs="Times New Roman"/>
                <w:color w:val="000000"/>
              </w:rPr>
            </w:pPr>
            <w:r w:rsidRPr="00917DAA">
              <w:rPr>
                <w:rFonts w:ascii="Calibri" w:eastAsia="Times New Roman" w:hAnsi="Calibri" w:cs="Times New Roman"/>
                <w:color w:val="000000"/>
              </w:rPr>
              <w:t>34%</w:t>
            </w:r>
          </w:p>
        </w:tc>
        <w:tc>
          <w:tcPr>
            <w:tcW w:w="606" w:type="dxa"/>
            <w:shd w:val="clear" w:color="auto" w:fill="auto"/>
            <w:noWrap/>
            <w:vAlign w:val="bottom"/>
            <w:hideMark/>
          </w:tcPr>
          <w:p w:rsidR="00830D21" w:rsidRPr="00917DAA" w:rsidRDefault="00830D21" w:rsidP="00830D21">
            <w:pPr>
              <w:spacing w:after="0" w:line="240" w:lineRule="auto"/>
              <w:jc w:val="center"/>
              <w:rPr>
                <w:rFonts w:ascii="Calibri" w:eastAsia="Times New Roman" w:hAnsi="Calibri" w:cs="Times New Roman"/>
                <w:color w:val="000000"/>
              </w:rPr>
            </w:pPr>
            <w:r w:rsidRPr="00917DAA">
              <w:rPr>
                <w:rFonts w:ascii="Calibri" w:eastAsia="Times New Roman" w:hAnsi="Calibri" w:cs="Times New Roman"/>
                <w:color w:val="000000"/>
              </w:rPr>
              <w:t>43%</w:t>
            </w:r>
          </w:p>
        </w:tc>
        <w:tc>
          <w:tcPr>
            <w:tcW w:w="597" w:type="dxa"/>
            <w:shd w:val="clear" w:color="auto" w:fill="auto"/>
            <w:noWrap/>
            <w:vAlign w:val="bottom"/>
            <w:hideMark/>
          </w:tcPr>
          <w:p w:rsidR="00830D21" w:rsidRPr="00917DAA" w:rsidRDefault="00830D21" w:rsidP="00830D21">
            <w:pPr>
              <w:spacing w:after="0" w:line="240" w:lineRule="auto"/>
              <w:jc w:val="center"/>
              <w:rPr>
                <w:rFonts w:ascii="Calibri" w:eastAsia="Times New Roman" w:hAnsi="Calibri" w:cs="Times New Roman"/>
                <w:color w:val="000000"/>
              </w:rPr>
            </w:pPr>
            <w:r w:rsidRPr="00917DAA">
              <w:rPr>
                <w:rFonts w:ascii="Calibri" w:eastAsia="Times New Roman" w:hAnsi="Calibri" w:cs="Times New Roman"/>
                <w:color w:val="000000"/>
              </w:rPr>
              <w:t>9%</w:t>
            </w:r>
          </w:p>
        </w:tc>
      </w:tr>
      <w:tr w:rsidR="00830D21" w:rsidRPr="00917DAA" w:rsidTr="00830D21">
        <w:trPr>
          <w:trHeight w:val="315"/>
        </w:trPr>
        <w:tc>
          <w:tcPr>
            <w:tcW w:w="668" w:type="dxa"/>
            <w:shd w:val="clear" w:color="auto" w:fill="auto"/>
            <w:noWrap/>
            <w:vAlign w:val="bottom"/>
            <w:hideMark/>
          </w:tcPr>
          <w:p w:rsidR="00830D21" w:rsidRPr="00917DAA" w:rsidRDefault="00830D21" w:rsidP="00830D21">
            <w:pPr>
              <w:spacing w:after="0" w:line="240" w:lineRule="auto"/>
              <w:jc w:val="right"/>
              <w:rPr>
                <w:rFonts w:ascii="Calibri" w:eastAsia="Times New Roman" w:hAnsi="Calibri" w:cs="Times New Roman"/>
                <w:color w:val="000000"/>
              </w:rPr>
            </w:pPr>
            <w:r w:rsidRPr="00917DAA">
              <w:rPr>
                <w:rFonts w:ascii="Calibri" w:eastAsia="Times New Roman" w:hAnsi="Calibri" w:cs="Times New Roman"/>
                <w:color w:val="000000"/>
              </w:rPr>
              <w:t>SP15</w:t>
            </w:r>
          </w:p>
        </w:tc>
        <w:tc>
          <w:tcPr>
            <w:tcW w:w="597" w:type="dxa"/>
            <w:shd w:val="clear" w:color="auto" w:fill="auto"/>
            <w:noWrap/>
            <w:vAlign w:val="bottom"/>
            <w:hideMark/>
          </w:tcPr>
          <w:p w:rsidR="00830D21" w:rsidRPr="00917DAA" w:rsidRDefault="00830D21" w:rsidP="00830D21">
            <w:pPr>
              <w:spacing w:after="0" w:line="240" w:lineRule="auto"/>
              <w:jc w:val="center"/>
              <w:rPr>
                <w:rFonts w:ascii="Calibri" w:eastAsia="Times New Roman" w:hAnsi="Calibri" w:cs="Times New Roman"/>
                <w:color w:val="000000"/>
              </w:rPr>
            </w:pPr>
            <w:r w:rsidRPr="00917DAA">
              <w:rPr>
                <w:rFonts w:ascii="Calibri" w:eastAsia="Times New Roman" w:hAnsi="Calibri" w:cs="Times New Roman"/>
                <w:color w:val="000000"/>
              </w:rPr>
              <w:t>29%</w:t>
            </w:r>
          </w:p>
        </w:tc>
        <w:tc>
          <w:tcPr>
            <w:tcW w:w="606" w:type="dxa"/>
            <w:shd w:val="clear" w:color="auto" w:fill="auto"/>
            <w:noWrap/>
            <w:vAlign w:val="bottom"/>
            <w:hideMark/>
          </w:tcPr>
          <w:p w:rsidR="00830D21" w:rsidRPr="00917DAA" w:rsidRDefault="00830D21" w:rsidP="00830D21">
            <w:pPr>
              <w:spacing w:after="0" w:line="240" w:lineRule="auto"/>
              <w:jc w:val="center"/>
              <w:rPr>
                <w:rFonts w:ascii="Calibri" w:eastAsia="Times New Roman" w:hAnsi="Calibri" w:cs="Times New Roman"/>
                <w:color w:val="000000"/>
              </w:rPr>
            </w:pPr>
            <w:r w:rsidRPr="00917DAA">
              <w:rPr>
                <w:rFonts w:ascii="Calibri" w:eastAsia="Times New Roman" w:hAnsi="Calibri" w:cs="Times New Roman"/>
                <w:color w:val="000000"/>
              </w:rPr>
              <w:t>46%</w:t>
            </w:r>
          </w:p>
        </w:tc>
        <w:tc>
          <w:tcPr>
            <w:tcW w:w="597" w:type="dxa"/>
            <w:shd w:val="clear" w:color="auto" w:fill="auto"/>
            <w:noWrap/>
            <w:vAlign w:val="bottom"/>
            <w:hideMark/>
          </w:tcPr>
          <w:p w:rsidR="00830D21" w:rsidRPr="00917DAA" w:rsidRDefault="00830D21" w:rsidP="00830D21">
            <w:pPr>
              <w:spacing w:after="0" w:line="240" w:lineRule="auto"/>
              <w:jc w:val="center"/>
              <w:rPr>
                <w:rFonts w:ascii="Calibri" w:eastAsia="Times New Roman" w:hAnsi="Calibri" w:cs="Times New Roman"/>
                <w:color w:val="000000"/>
              </w:rPr>
            </w:pPr>
            <w:r w:rsidRPr="00917DAA">
              <w:rPr>
                <w:rFonts w:ascii="Calibri" w:eastAsia="Times New Roman" w:hAnsi="Calibri" w:cs="Times New Roman"/>
                <w:color w:val="000000"/>
              </w:rPr>
              <w:t>17%</w:t>
            </w:r>
          </w:p>
        </w:tc>
      </w:tr>
    </w:tbl>
    <w:p w:rsidR="00960439" w:rsidRDefault="00960439" w:rsidP="00917DAA"/>
    <w:p w:rsidR="00960439" w:rsidRDefault="00960439" w:rsidP="008A4B4C"/>
    <w:p w:rsidR="00830D21" w:rsidRDefault="00830D21" w:rsidP="008A4B4C"/>
    <w:tbl>
      <w:tblPr>
        <w:tblpPr w:leftFromText="180" w:rightFromText="180" w:vertAnchor="text" w:horzAnchor="margin" w:tblpXSpec="right" w:tblpY="290"/>
        <w:tblW w:w="25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62"/>
        <w:gridCol w:w="597"/>
        <w:gridCol w:w="606"/>
        <w:gridCol w:w="597"/>
      </w:tblGrid>
      <w:tr w:rsidR="00830D21" w:rsidRPr="00830D21" w:rsidTr="00830D21">
        <w:trPr>
          <w:trHeight w:val="315"/>
        </w:trPr>
        <w:tc>
          <w:tcPr>
            <w:tcW w:w="2562" w:type="dxa"/>
            <w:gridSpan w:val="4"/>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Survey FCI by Grade</w:t>
            </w:r>
          </w:p>
        </w:tc>
      </w:tr>
      <w:tr w:rsidR="00830D21" w:rsidRPr="00830D21" w:rsidTr="00830D21">
        <w:trPr>
          <w:trHeight w:val="315"/>
        </w:trPr>
        <w:tc>
          <w:tcPr>
            <w:tcW w:w="762" w:type="dxa"/>
            <w:shd w:val="clear" w:color="auto" w:fill="auto"/>
            <w:noWrap/>
            <w:vAlign w:val="bottom"/>
            <w:hideMark/>
          </w:tcPr>
          <w:p w:rsidR="00830D21" w:rsidRPr="00830D21" w:rsidRDefault="00830D21" w:rsidP="00830D21">
            <w:pPr>
              <w:spacing w:after="0" w:line="240" w:lineRule="auto"/>
              <w:jc w:val="right"/>
              <w:rPr>
                <w:rFonts w:ascii="Calibri" w:eastAsia="Times New Roman" w:hAnsi="Calibri" w:cs="Times New Roman"/>
                <w:color w:val="000000"/>
              </w:rPr>
            </w:pPr>
            <w:r w:rsidRPr="00830D21">
              <w:rPr>
                <w:rFonts w:ascii="Calibri" w:eastAsia="Times New Roman" w:hAnsi="Calibri" w:cs="Times New Roman"/>
                <w:color w:val="000000"/>
              </w:rPr>
              <w:t>Grade</w:t>
            </w:r>
          </w:p>
        </w:tc>
        <w:tc>
          <w:tcPr>
            <w:tcW w:w="597" w:type="dxa"/>
            <w:shd w:val="clear" w:color="auto" w:fill="auto"/>
            <w:noWrap/>
            <w:vAlign w:val="bottom"/>
            <w:hideMark/>
          </w:tcPr>
          <w:p w:rsidR="00830D21" w:rsidRPr="00830D21" w:rsidRDefault="00830D21" w:rsidP="00830D21">
            <w:pPr>
              <w:spacing w:after="0" w:line="240" w:lineRule="auto"/>
              <w:rPr>
                <w:rFonts w:ascii="Calibri" w:eastAsia="Times New Roman" w:hAnsi="Calibri" w:cs="Times New Roman"/>
                <w:color w:val="000000"/>
              </w:rPr>
            </w:pPr>
            <w:r w:rsidRPr="00830D21">
              <w:rPr>
                <w:rFonts w:ascii="Calibri" w:eastAsia="Times New Roman" w:hAnsi="Calibri" w:cs="Times New Roman"/>
                <w:color w:val="000000"/>
              </w:rPr>
              <w:t>Pre</w:t>
            </w:r>
          </w:p>
        </w:tc>
        <w:tc>
          <w:tcPr>
            <w:tcW w:w="606" w:type="dxa"/>
            <w:shd w:val="clear" w:color="auto" w:fill="auto"/>
            <w:noWrap/>
            <w:vAlign w:val="bottom"/>
            <w:hideMark/>
          </w:tcPr>
          <w:p w:rsidR="00830D21" w:rsidRPr="00830D21" w:rsidRDefault="00830D21" w:rsidP="00830D21">
            <w:pPr>
              <w:spacing w:after="0" w:line="240" w:lineRule="auto"/>
              <w:rPr>
                <w:rFonts w:ascii="Calibri" w:eastAsia="Times New Roman" w:hAnsi="Calibri" w:cs="Times New Roman"/>
                <w:color w:val="000000"/>
              </w:rPr>
            </w:pPr>
            <w:r w:rsidRPr="00830D21">
              <w:rPr>
                <w:rFonts w:ascii="Calibri" w:eastAsia="Times New Roman" w:hAnsi="Calibri" w:cs="Times New Roman"/>
                <w:color w:val="000000"/>
              </w:rPr>
              <w:t>Post</w:t>
            </w:r>
          </w:p>
        </w:tc>
        <w:tc>
          <w:tcPr>
            <w:tcW w:w="597"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rPr>
            </w:pPr>
            <w:r w:rsidRPr="00830D21">
              <w:rPr>
                <w:rFonts w:ascii="Calibri" w:eastAsia="Times New Roman" w:hAnsi="Calibri" w:cs="Times New Roman"/>
              </w:rPr>
              <w:t>Δ</w:t>
            </w:r>
          </w:p>
        </w:tc>
      </w:tr>
      <w:tr w:rsidR="00830D21" w:rsidRPr="00830D21" w:rsidTr="00830D21">
        <w:trPr>
          <w:trHeight w:val="300"/>
        </w:trPr>
        <w:tc>
          <w:tcPr>
            <w:tcW w:w="762"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A</w:t>
            </w:r>
          </w:p>
        </w:tc>
        <w:tc>
          <w:tcPr>
            <w:tcW w:w="597"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35%</w:t>
            </w:r>
          </w:p>
        </w:tc>
        <w:tc>
          <w:tcPr>
            <w:tcW w:w="606"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55%</w:t>
            </w:r>
          </w:p>
        </w:tc>
        <w:tc>
          <w:tcPr>
            <w:tcW w:w="597"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19%</w:t>
            </w:r>
          </w:p>
        </w:tc>
      </w:tr>
      <w:tr w:rsidR="00830D21" w:rsidRPr="00830D21" w:rsidTr="00830D21">
        <w:trPr>
          <w:trHeight w:val="315"/>
        </w:trPr>
        <w:tc>
          <w:tcPr>
            <w:tcW w:w="762"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B</w:t>
            </w:r>
          </w:p>
        </w:tc>
        <w:tc>
          <w:tcPr>
            <w:tcW w:w="597"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34%</w:t>
            </w:r>
          </w:p>
        </w:tc>
        <w:tc>
          <w:tcPr>
            <w:tcW w:w="606"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48%</w:t>
            </w:r>
          </w:p>
        </w:tc>
        <w:tc>
          <w:tcPr>
            <w:tcW w:w="597"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15%</w:t>
            </w:r>
          </w:p>
        </w:tc>
      </w:tr>
      <w:tr w:rsidR="00830D21" w:rsidRPr="00830D21" w:rsidTr="00830D21">
        <w:trPr>
          <w:trHeight w:val="300"/>
        </w:trPr>
        <w:tc>
          <w:tcPr>
            <w:tcW w:w="762"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C</w:t>
            </w:r>
          </w:p>
        </w:tc>
        <w:tc>
          <w:tcPr>
            <w:tcW w:w="597"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34%</w:t>
            </w:r>
          </w:p>
        </w:tc>
        <w:tc>
          <w:tcPr>
            <w:tcW w:w="606"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40%</w:t>
            </w:r>
          </w:p>
        </w:tc>
        <w:tc>
          <w:tcPr>
            <w:tcW w:w="597"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6%</w:t>
            </w:r>
          </w:p>
        </w:tc>
      </w:tr>
      <w:tr w:rsidR="00830D21" w:rsidRPr="00830D21" w:rsidTr="00830D21">
        <w:trPr>
          <w:trHeight w:val="300"/>
        </w:trPr>
        <w:tc>
          <w:tcPr>
            <w:tcW w:w="762"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D</w:t>
            </w:r>
          </w:p>
        </w:tc>
        <w:tc>
          <w:tcPr>
            <w:tcW w:w="597"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12%</w:t>
            </w:r>
          </w:p>
        </w:tc>
        <w:tc>
          <w:tcPr>
            <w:tcW w:w="606"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30%</w:t>
            </w:r>
          </w:p>
        </w:tc>
        <w:tc>
          <w:tcPr>
            <w:tcW w:w="597"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18%</w:t>
            </w:r>
          </w:p>
        </w:tc>
      </w:tr>
      <w:tr w:rsidR="00830D21" w:rsidRPr="00830D21" w:rsidTr="00830D21">
        <w:trPr>
          <w:trHeight w:val="315"/>
        </w:trPr>
        <w:tc>
          <w:tcPr>
            <w:tcW w:w="762"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F</w:t>
            </w:r>
          </w:p>
        </w:tc>
        <w:tc>
          <w:tcPr>
            <w:tcW w:w="597"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N/A</w:t>
            </w:r>
          </w:p>
        </w:tc>
        <w:tc>
          <w:tcPr>
            <w:tcW w:w="606"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N/A</w:t>
            </w:r>
          </w:p>
        </w:tc>
        <w:tc>
          <w:tcPr>
            <w:tcW w:w="597"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N/A</w:t>
            </w:r>
          </w:p>
        </w:tc>
      </w:tr>
    </w:tbl>
    <w:p w:rsidR="00830D21" w:rsidRDefault="00830D21" w:rsidP="008A4B4C"/>
    <w:p w:rsidR="00830D21" w:rsidRDefault="00830D21" w:rsidP="008A4B4C"/>
    <w:p w:rsidR="00917DAA" w:rsidRDefault="00917DAA" w:rsidP="008A4B4C"/>
    <w:p w:rsidR="00581C38" w:rsidRDefault="00581C38">
      <w:pPr>
        <w:rPr>
          <w:b/>
        </w:rPr>
      </w:pPr>
      <w:r>
        <w:rPr>
          <w:b/>
        </w:rPr>
        <w:br w:type="page"/>
      </w:r>
    </w:p>
    <w:p w:rsidR="004F1DD1" w:rsidRDefault="004F1DD1" w:rsidP="008A4B4C">
      <w:r w:rsidRPr="004F1DD1">
        <w:rPr>
          <w:b/>
        </w:rPr>
        <w:lastRenderedPageBreak/>
        <w:t>Intro Physics</w:t>
      </w:r>
      <w:r>
        <w:t>, PH</w:t>
      </w:r>
      <w:r w:rsidR="007B4E15">
        <w:t>1104 is a combined lecture and lab course. Formerly two courses (PH1103 Lecture and PH1112 Lab), it is</w:t>
      </w:r>
      <w:r>
        <w:t xml:space="preserve"> a study of Newtonian physics, mechanics, electricity, and physical properties of matter. Intro Physics is a non-calculus course which features problem-solving and laboratory work, designed for technical majors </w:t>
      </w:r>
      <w:r w:rsidR="00D6343C">
        <w:t>such as Industrial Engineering Tech</w:t>
      </w:r>
      <w:r w:rsidR="007F202F">
        <w:t>nology</w:t>
      </w:r>
      <w:bookmarkStart w:id="0" w:name="_GoBack"/>
      <w:bookmarkEnd w:id="0"/>
      <w:r w:rsidR="00D6343C">
        <w:t xml:space="preserve"> or Precision Machining. The prerequisites for Intro Physics are a m</w:t>
      </w:r>
      <w:r w:rsidR="00D6343C" w:rsidRPr="00D6343C">
        <w:t>inimum</w:t>
      </w:r>
      <w:r w:rsidR="009D4B65">
        <w:t xml:space="preserve"> grade of "C" in MT</w:t>
      </w:r>
      <w:r w:rsidR="00D6343C" w:rsidRPr="00D6343C">
        <w:t>1083.</w:t>
      </w:r>
      <w:r w:rsidR="007B4E15">
        <w:t xml:space="preserve"> </w:t>
      </w:r>
      <w:r w:rsidR="00D72825" w:rsidRPr="00D72825">
        <w:t>Upon completion of this course, student</w:t>
      </w:r>
      <w:r w:rsidR="002B7713">
        <w:t>s</w:t>
      </w:r>
      <w:r w:rsidR="00D72825" w:rsidRPr="00D72825">
        <w:t xml:space="preserve"> should have developed the basic specific technical physics skills necessary to progress in the student’s particular technical disciplines.</w:t>
      </w:r>
    </w:p>
    <w:p w:rsidR="00960439" w:rsidRDefault="00960439" w:rsidP="00960439">
      <w:r>
        <w:t xml:space="preserve">Intro Physics is </w:t>
      </w:r>
      <w:r w:rsidRPr="008A4B4C">
        <w:t xml:space="preserve">taught by </w:t>
      </w:r>
      <w:r>
        <w:t xml:space="preserve">one </w:t>
      </w:r>
      <w:r w:rsidRPr="008A4B4C">
        <w:t xml:space="preserve">full-time instructor at </w:t>
      </w:r>
      <w:r w:rsidR="00094EC1">
        <w:t>the Washington–</w:t>
      </w:r>
      <w:r>
        <w:t>Four Rivers</w:t>
      </w:r>
      <w:r w:rsidRPr="008A4B4C">
        <w:t xml:space="preserve"> satellite site. The course is overseen by the </w:t>
      </w:r>
      <w:r>
        <w:t>Physics</w:t>
      </w:r>
      <w:r w:rsidRPr="008A4B4C">
        <w:t xml:space="preserve"> Department and requires a departmental syllabus containing a list of required material.</w:t>
      </w:r>
      <w:r w:rsidRPr="00960439">
        <w:t xml:space="preserve"> </w:t>
      </w:r>
      <w:r>
        <w:t>The course</w:t>
      </w:r>
      <w:r w:rsidRPr="008A4B4C">
        <w:t xml:space="preserve"> is taught in a traditional </w:t>
      </w:r>
      <w:r>
        <w:t xml:space="preserve">classroom/laboratory </w:t>
      </w:r>
      <w:r w:rsidRPr="008A4B4C">
        <w:t>format</w:t>
      </w:r>
      <w:r w:rsidR="00094EC1">
        <w:t>;</w:t>
      </w:r>
      <w:r>
        <w:t xml:space="preserve"> </w:t>
      </w:r>
      <w:r w:rsidRPr="008A4B4C">
        <w:t>online section</w:t>
      </w:r>
      <w:r>
        <w:t>s</w:t>
      </w:r>
      <w:r w:rsidRPr="008A4B4C">
        <w:t xml:space="preserve"> </w:t>
      </w:r>
      <w:r>
        <w:t>are not available</w:t>
      </w:r>
      <w:r w:rsidRPr="008A4B4C">
        <w:t xml:space="preserve">.    </w:t>
      </w:r>
    </w:p>
    <w:p w:rsidR="00A827CB" w:rsidRDefault="00A827CB" w:rsidP="00A827CB">
      <w:r>
        <w:t>The success and withdrawal rates for PH1104 (formerly PH1103/1112) are show below</w:t>
      </w:r>
      <w:r w:rsidR="00124B8E">
        <w:t>, along with enrollment numbers</w:t>
      </w:r>
      <w:r w:rsidR="00917DAA" w:rsidRPr="00917DAA">
        <w:t xml:space="preserve"> </w:t>
      </w:r>
      <w:r w:rsidR="00917DAA">
        <w:t>and pre/post test scores on the Force Concept Inventory</w:t>
      </w:r>
      <w:r w:rsidR="00124B8E">
        <w:t>.</w:t>
      </w:r>
    </w:p>
    <w:tbl>
      <w:tblPr>
        <w:tblW w:w="6999" w:type="dxa"/>
        <w:jc w:val="center"/>
        <w:tblLook w:val="04A0" w:firstRow="1" w:lastRow="0" w:firstColumn="1" w:lastColumn="0" w:noHBand="0" w:noVBand="1"/>
      </w:tblPr>
      <w:tblGrid>
        <w:gridCol w:w="2714"/>
        <w:gridCol w:w="857"/>
        <w:gridCol w:w="857"/>
        <w:gridCol w:w="857"/>
        <w:gridCol w:w="857"/>
        <w:gridCol w:w="857"/>
      </w:tblGrid>
      <w:tr w:rsidR="00124B8E" w:rsidRPr="007A6595" w:rsidTr="00F07F41">
        <w:trPr>
          <w:trHeight w:val="315"/>
          <w:jc w:val="center"/>
        </w:trPr>
        <w:tc>
          <w:tcPr>
            <w:tcW w:w="2714" w:type="dxa"/>
            <w:tcBorders>
              <w:top w:val="single" w:sz="12" w:space="0" w:color="auto"/>
              <w:left w:val="single" w:sz="12" w:space="0" w:color="auto"/>
              <w:bottom w:val="single" w:sz="12" w:space="0" w:color="auto"/>
              <w:right w:val="single" w:sz="8" w:space="0" w:color="000000"/>
            </w:tcBorders>
            <w:shd w:val="clear" w:color="auto" w:fill="auto"/>
            <w:noWrap/>
            <w:vAlign w:val="bottom"/>
            <w:hideMark/>
          </w:tcPr>
          <w:p w:rsidR="00124B8E" w:rsidRPr="00F07F41" w:rsidRDefault="00124B8E" w:rsidP="0050109A">
            <w:pPr>
              <w:spacing w:after="0" w:line="240" w:lineRule="auto"/>
              <w:jc w:val="right"/>
              <w:rPr>
                <w:rFonts w:eastAsia="Times New Roman"/>
                <w:color w:val="000000"/>
              </w:rPr>
            </w:pPr>
            <w:r w:rsidRPr="00F07F41">
              <w:rPr>
                <w:rFonts w:eastAsia="Times New Roman"/>
                <w:color w:val="000000"/>
              </w:rPr>
              <w:t>Academic Year</w:t>
            </w:r>
          </w:p>
        </w:tc>
        <w:tc>
          <w:tcPr>
            <w:tcW w:w="857" w:type="dxa"/>
            <w:tcBorders>
              <w:top w:val="single" w:sz="12" w:space="0" w:color="auto"/>
              <w:left w:val="nil"/>
              <w:bottom w:val="single" w:sz="12" w:space="0" w:color="auto"/>
              <w:right w:val="single" w:sz="4" w:space="0" w:color="auto"/>
            </w:tcBorders>
            <w:shd w:val="clear" w:color="auto" w:fill="auto"/>
            <w:noWrap/>
            <w:vAlign w:val="bottom"/>
            <w:hideMark/>
          </w:tcPr>
          <w:p w:rsidR="00124B8E" w:rsidRPr="00F07F41" w:rsidRDefault="00124B8E" w:rsidP="0050109A">
            <w:pPr>
              <w:spacing w:after="0" w:line="240" w:lineRule="auto"/>
              <w:jc w:val="center"/>
              <w:rPr>
                <w:rFonts w:eastAsia="Times New Roman"/>
                <w:color w:val="000000"/>
              </w:rPr>
            </w:pPr>
            <w:r w:rsidRPr="00F07F41">
              <w:rPr>
                <w:rFonts w:eastAsia="Times New Roman"/>
                <w:color w:val="000000"/>
              </w:rPr>
              <w:t>10/11</w:t>
            </w:r>
          </w:p>
        </w:tc>
        <w:tc>
          <w:tcPr>
            <w:tcW w:w="857" w:type="dxa"/>
            <w:tcBorders>
              <w:top w:val="single" w:sz="12" w:space="0" w:color="auto"/>
              <w:left w:val="nil"/>
              <w:bottom w:val="single" w:sz="12" w:space="0" w:color="auto"/>
              <w:right w:val="single" w:sz="4" w:space="0" w:color="auto"/>
            </w:tcBorders>
            <w:shd w:val="clear" w:color="auto" w:fill="auto"/>
            <w:noWrap/>
            <w:vAlign w:val="bottom"/>
            <w:hideMark/>
          </w:tcPr>
          <w:p w:rsidR="00124B8E" w:rsidRPr="00F07F41" w:rsidRDefault="00124B8E" w:rsidP="0050109A">
            <w:pPr>
              <w:spacing w:after="0" w:line="240" w:lineRule="auto"/>
              <w:jc w:val="center"/>
              <w:rPr>
                <w:rFonts w:eastAsia="Times New Roman"/>
                <w:color w:val="000000"/>
              </w:rPr>
            </w:pPr>
            <w:r w:rsidRPr="00F07F41">
              <w:rPr>
                <w:rFonts w:eastAsia="Times New Roman"/>
                <w:color w:val="000000"/>
              </w:rPr>
              <w:t>11/12</w:t>
            </w:r>
          </w:p>
        </w:tc>
        <w:tc>
          <w:tcPr>
            <w:tcW w:w="857" w:type="dxa"/>
            <w:tcBorders>
              <w:top w:val="single" w:sz="12" w:space="0" w:color="auto"/>
              <w:left w:val="nil"/>
              <w:bottom w:val="single" w:sz="12" w:space="0" w:color="auto"/>
              <w:right w:val="single" w:sz="4" w:space="0" w:color="auto"/>
            </w:tcBorders>
            <w:shd w:val="clear" w:color="auto" w:fill="auto"/>
            <w:noWrap/>
            <w:vAlign w:val="bottom"/>
            <w:hideMark/>
          </w:tcPr>
          <w:p w:rsidR="00124B8E" w:rsidRPr="00F07F41" w:rsidRDefault="00124B8E" w:rsidP="0050109A">
            <w:pPr>
              <w:spacing w:after="0" w:line="240" w:lineRule="auto"/>
              <w:jc w:val="center"/>
              <w:rPr>
                <w:rFonts w:eastAsia="Times New Roman"/>
                <w:color w:val="000000"/>
              </w:rPr>
            </w:pPr>
            <w:r w:rsidRPr="00F07F41">
              <w:rPr>
                <w:rFonts w:eastAsia="Times New Roman"/>
                <w:color w:val="000000"/>
              </w:rPr>
              <w:t>12/13</w:t>
            </w:r>
          </w:p>
        </w:tc>
        <w:tc>
          <w:tcPr>
            <w:tcW w:w="857" w:type="dxa"/>
            <w:tcBorders>
              <w:top w:val="single" w:sz="12" w:space="0" w:color="auto"/>
              <w:left w:val="nil"/>
              <w:bottom w:val="single" w:sz="12" w:space="0" w:color="auto"/>
              <w:right w:val="single" w:sz="8" w:space="0" w:color="auto"/>
            </w:tcBorders>
            <w:shd w:val="clear" w:color="auto" w:fill="auto"/>
            <w:noWrap/>
            <w:vAlign w:val="bottom"/>
            <w:hideMark/>
          </w:tcPr>
          <w:p w:rsidR="00124B8E" w:rsidRPr="00F07F41" w:rsidRDefault="00124B8E" w:rsidP="0050109A">
            <w:pPr>
              <w:spacing w:after="0" w:line="240" w:lineRule="auto"/>
              <w:jc w:val="center"/>
              <w:rPr>
                <w:rFonts w:eastAsia="Times New Roman"/>
                <w:color w:val="000000"/>
              </w:rPr>
            </w:pPr>
            <w:r w:rsidRPr="00F07F41">
              <w:rPr>
                <w:rFonts w:eastAsia="Times New Roman"/>
                <w:color w:val="000000"/>
              </w:rPr>
              <w:t>13/14</w:t>
            </w:r>
          </w:p>
        </w:tc>
        <w:tc>
          <w:tcPr>
            <w:tcW w:w="857" w:type="dxa"/>
            <w:tcBorders>
              <w:top w:val="single" w:sz="12" w:space="0" w:color="auto"/>
              <w:left w:val="single" w:sz="8" w:space="0" w:color="auto"/>
              <w:bottom w:val="single" w:sz="12" w:space="0" w:color="auto"/>
              <w:right w:val="single" w:sz="12" w:space="0" w:color="auto"/>
            </w:tcBorders>
            <w:vAlign w:val="bottom"/>
          </w:tcPr>
          <w:p w:rsidR="00124B8E" w:rsidRPr="00F07F41" w:rsidRDefault="00124B8E" w:rsidP="0050109A">
            <w:pPr>
              <w:spacing w:after="0" w:line="240" w:lineRule="auto"/>
              <w:jc w:val="center"/>
              <w:rPr>
                <w:rFonts w:eastAsia="Times New Roman"/>
                <w:color w:val="000000"/>
              </w:rPr>
            </w:pPr>
            <w:r w:rsidRPr="00F07F41">
              <w:rPr>
                <w:rFonts w:eastAsia="Times New Roman"/>
                <w:color w:val="000000"/>
              </w:rPr>
              <w:t>14/15</w:t>
            </w:r>
          </w:p>
        </w:tc>
      </w:tr>
      <w:tr w:rsidR="00124B8E" w:rsidRPr="00C17B3A" w:rsidTr="00F07F41">
        <w:trPr>
          <w:trHeight w:val="300"/>
          <w:jc w:val="center"/>
        </w:trPr>
        <w:tc>
          <w:tcPr>
            <w:tcW w:w="2714" w:type="dxa"/>
            <w:tcBorders>
              <w:top w:val="single" w:sz="12" w:space="0" w:color="auto"/>
              <w:left w:val="single" w:sz="12" w:space="0" w:color="auto"/>
              <w:bottom w:val="single" w:sz="12" w:space="0" w:color="auto"/>
              <w:right w:val="single" w:sz="8" w:space="0" w:color="auto"/>
            </w:tcBorders>
            <w:shd w:val="clear" w:color="auto" w:fill="auto"/>
            <w:noWrap/>
            <w:vAlign w:val="bottom"/>
            <w:hideMark/>
          </w:tcPr>
          <w:p w:rsidR="00124B8E" w:rsidRPr="00F07F41" w:rsidRDefault="00F07F41" w:rsidP="0050109A">
            <w:pPr>
              <w:spacing w:after="0" w:line="240" w:lineRule="auto"/>
              <w:jc w:val="right"/>
              <w:rPr>
                <w:rFonts w:eastAsia="Times New Roman"/>
                <w:color w:val="000000"/>
              </w:rPr>
            </w:pPr>
            <w:r w:rsidRPr="00F07F41">
              <w:rPr>
                <w:rFonts w:eastAsia="Times New Roman"/>
                <w:color w:val="000000"/>
              </w:rPr>
              <w:t xml:space="preserve">Enrollment in </w:t>
            </w:r>
            <w:r w:rsidR="00124B8E" w:rsidRPr="00F07F41">
              <w:rPr>
                <w:rFonts w:eastAsia="Times New Roman"/>
                <w:color w:val="000000"/>
              </w:rPr>
              <w:t>Intro Physics</w:t>
            </w:r>
          </w:p>
        </w:tc>
        <w:tc>
          <w:tcPr>
            <w:tcW w:w="857" w:type="dxa"/>
            <w:tcBorders>
              <w:top w:val="nil"/>
              <w:left w:val="single" w:sz="8" w:space="0" w:color="auto"/>
              <w:bottom w:val="single" w:sz="12" w:space="0" w:color="auto"/>
              <w:right w:val="single" w:sz="4" w:space="0" w:color="auto"/>
            </w:tcBorders>
            <w:shd w:val="clear" w:color="auto" w:fill="auto"/>
            <w:noWrap/>
            <w:vAlign w:val="bottom"/>
            <w:hideMark/>
          </w:tcPr>
          <w:p w:rsidR="00124B8E" w:rsidRPr="00F07F41" w:rsidRDefault="00124B8E" w:rsidP="0050109A">
            <w:pPr>
              <w:spacing w:after="0" w:line="240" w:lineRule="auto"/>
              <w:jc w:val="center"/>
              <w:rPr>
                <w:rFonts w:eastAsia="Times New Roman"/>
                <w:color w:val="000000"/>
              </w:rPr>
            </w:pPr>
            <w:r w:rsidRPr="00F07F41">
              <w:rPr>
                <w:rFonts w:eastAsia="Times New Roman"/>
                <w:color w:val="000000"/>
              </w:rPr>
              <w:t>17</w:t>
            </w:r>
          </w:p>
        </w:tc>
        <w:tc>
          <w:tcPr>
            <w:tcW w:w="857" w:type="dxa"/>
            <w:tcBorders>
              <w:top w:val="nil"/>
              <w:left w:val="nil"/>
              <w:bottom w:val="single" w:sz="12" w:space="0" w:color="auto"/>
              <w:right w:val="single" w:sz="4" w:space="0" w:color="auto"/>
            </w:tcBorders>
            <w:shd w:val="clear" w:color="auto" w:fill="auto"/>
            <w:noWrap/>
            <w:vAlign w:val="bottom"/>
            <w:hideMark/>
          </w:tcPr>
          <w:p w:rsidR="00124B8E" w:rsidRPr="00F07F41" w:rsidRDefault="00124B8E" w:rsidP="0050109A">
            <w:pPr>
              <w:spacing w:after="0" w:line="240" w:lineRule="auto"/>
              <w:jc w:val="center"/>
              <w:rPr>
                <w:rFonts w:eastAsia="Times New Roman"/>
                <w:color w:val="000000"/>
              </w:rPr>
            </w:pPr>
            <w:r w:rsidRPr="00F07F41">
              <w:rPr>
                <w:rFonts w:eastAsia="Times New Roman"/>
                <w:color w:val="000000"/>
              </w:rPr>
              <w:t>10</w:t>
            </w:r>
          </w:p>
        </w:tc>
        <w:tc>
          <w:tcPr>
            <w:tcW w:w="857" w:type="dxa"/>
            <w:tcBorders>
              <w:top w:val="nil"/>
              <w:left w:val="nil"/>
              <w:bottom w:val="single" w:sz="12" w:space="0" w:color="auto"/>
              <w:right w:val="single" w:sz="4" w:space="0" w:color="auto"/>
            </w:tcBorders>
            <w:shd w:val="clear" w:color="auto" w:fill="auto"/>
            <w:noWrap/>
            <w:vAlign w:val="bottom"/>
            <w:hideMark/>
          </w:tcPr>
          <w:p w:rsidR="00124B8E" w:rsidRPr="00F07F41" w:rsidRDefault="00124B8E" w:rsidP="0050109A">
            <w:pPr>
              <w:spacing w:after="0" w:line="240" w:lineRule="auto"/>
              <w:jc w:val="center"/>
              <w:rPr>
                <w:rFonts w:eastAsia="Times New Roman"/>
                <w:color w:val="000000"/>
              </w:rPr>
            </w:pPr>
            <w:r w:rsidRPr="00F07F41">
              <w:rPr>
                <w:rFonts w:eastAsia="Times New Roman"/>
                <w:color w:val="000000"/>
              </w:rPr>
              <w:t>8</w:t>
            </w:r>
          </w:p>
        </w:tc>
        <w:tc>
          <w:tcPr>
            <w:tcW w:w="857" w:type="dxa"/>
            <w:tcBorders>
              <w:top w:val="nil"/>
              <w:left w:val="nil"/>
              <w:bottom w:val="single" w:sz="12" w:space="0" w:color="auto"/>
              <w:right w:val="single" w:sz="8" w:space="0" w:color="auto"/>
            </w:tcBorders>
            <w:shd w:val="clear" w:color="auto" w:fill="auto"/>
            <w:noWrap/>
            <w:vAlign w:val="bottom"/>
            <w:hideMark/>
          </w:tcPr>
          <w:p w:rsidR="00124B8E" w:rsidRPr="00F07F41" w:rsidRDefault="00124B8E" w:rsidP="0050109A">
            <w:pPr>
              <w:spacing w:after="0" w:line="240" w:lineRule="auto"/>
              <w:jc w:val="center"/>
              <w:rPr>
                <w:rFonts w:eastAsia="Times New Roman"/>
                <w:color w:val="000000"/>
              </w:rPr>
            </w:pPr>
            <w:r w:rsidRPr="00F07F41">
              <w:rPr>
                <w:rFonts w:eastAsia="Times New Roman"/>
                <w:color w:val="000000"/>
              </w:rPr>
              <w:t>12</w:t>
            </w:r>
          </w:p>
        </w:tc>
        <w:tc>
          <w:tcPr>
            <w:tcW w:w="857" w:type="dxa"/>
            <w:tcBorders>
              <w:top w:val="nil"/>
              <w:left w:val="single" w:sz="8" w:space="0" w:color="auto"/>
              <w:bottom w:val="single" w:sz="12" w:space="0" w:color="auto"/>
              <w:right w:val="single" w:sz="12" w:space="0" w:color="auto"/>
            </w:tcBorders>
            <w:vAlign w:val="bottom"/>
          </w:tcPr>
          <w:p w:rsidR="00124B8E" w:rsidRPr="00F07F41" w:rsidRDefault="00124B8E" w:rsidP="0050109A">
            <w:pPr>
              <w:spacing w:after="0" w:line="240" w:lineRule="auto"/>
              <w:jc w:val="center"/>
              <w:rPr>
                <w:rFonts w:eastAsia="Times New Roman"/>
                <w:color w:val="000000"/>
              </w:rPr>
            </w:pPr>
            <w:r w:rsidRPr="00F07F41">
              <w:rPr>
                <w:rFonts w:eastAsia="Times New Roman"/>
                <w:color w:val="000000"/>
              </w:rPr>
              <w:t>13</w:t>
            </w:r>
          </w:p>
        </w:tc>
      </w:tr>
    </w:tbl>
    <w:tbl>
      <w:tblPr>
        <w:tblpPr w:leftFromText="180" w:rightFromText="180" w:vertAnchor="text" w:horzAnchor="margin" w:tblpXSpec="right" w:tblpY="368"/>
        <w:tblW w:w="24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58"/>
        <w:gridCol w:w="597"/>
        <w:gridCol w:w="606"/>
        <w:gridCol w:w="597"/>
      </w:tblGrid>
      <w:tr w:rsidR="00830D21" w:rsidRPr="00917DAA" w:rsidTr="00830D21">
        <w:trPr>
          <w:trHeight w:val="315"/>
        </w:trPr>
        <w:tc>
          <w:tcPr>
            <w:tcW w:w="2458" w:type="dxa"/>
            <w:gridSpan w:val="4"/>
            <w:shd w:val="clear" w:color="auto" w:fill="auto"/>
            <w:noWrap/>
            <w:vAlign w:val="bottom"/>
            <w:hideMark/>
          </w:tcPr>
          <w:p w:rsidR="00830D21" w:rsidRPr="00917DAA" w:rsidRDefault="00830D21" w:rsidP="00830D21">
            <w:pPr>
              <w:spacing w:after="0" w:line="240" w:lineRule="auto"/>
              <w:jc w:val="center"/>
              <w:rPr>
                <w:rFonts w:ascii="Calibri" w:eastAsia="Times New Roman" w:hAnsi="Calibri" w:cs="Times New Roman"/>
                <w:color w:val="000000"/>
              </w:rPr>
            </w:pPr>
            <w:r w:rsidRPr="00917DAA">
              <w:rPr>
                <w:rFonts w:ascii="Calibri" w:eastAsia="Times New Roman" w:hAnsi="Calibri" w:cs="Times New Roman"/>
                <w:color w:val="000000"/>
              </w:rPr>
              <w:t xml:space="preserve">Intro </w:t>
            </w:r>
            <w:proofErr w:type="spellStart"/>
            <w:r w:rsidRPr="00917DAA">
              <w:rPr>
                <w:rFonts w:ascii="Calibri" w:eastAsia="Times New Roman" w:hAnsi="Calibri" w:cs="Times New Roman"/>
                <w:color w:val="000000"/>
              </w:rPr>
              <w:t>Phys</w:t>
            </w:r>
            <w:proofErr w:type="spellEnd"/>
            <w:r w:rsidRPr="00917DAA">
              <w:rPr>
                <w:rFonts w:ascii="Calibri" w:eastAsia="Times New Roman" w:hAnsi="Calibri" w:cs="Times New Roman"/>
                <w:color w:val="000000"/>
              </w:rPr>
              <w:t xml:space="preserve"> FCI Scores</w:t>
            </w:r>
          </w:p>
        </w:tc>
      </w:tr>
      <w:tr w:rsidR="00830D21" w:rsidRPr="00917DAA" w:rsidTr="00830D21">
        <w:trPr>
          <w:trHeight w:val="300"/>
        </w:trPr>
        <w:tc>
          <w:tcPr>
            <w:tcW w:w="658" w:type="dxa"/>
            <w:shd w:val="clear" w:color="auto" w:fill="auto"/>
            <w:noWrap/>
            <w:vAlign w:val="bottom"/>
            <w:hideMark/>
          </w:tcPr>
          <w:p w:rsidR="00830D21" w:rsidRPr="00917DAA" w:rsidRDefault="00830D21" w:rsidP="00830D21">
            <w:pPr>
              <w:spacing w:after="0" w:line="240" w:lineRule="auto"/>
              <w:jc w:val="right"/>
              <w:rPr>
                <w:rFonts w:ascii="Calibri" w:eastAsia="Times New Roman" w:hAnsi="Calibri" w:cs="Times New Roman"/>
                <w:color w:val="000000"/>
              </w:rPr>
            </w:pPr>
            <w:r w:rsidRPr="00917DAA">
              <w:rPr>
                <w:rFonts w:ascii="Calibri" w:eastAsia="Times New Roman" w:hAnsi="Calibri" w:cs="Times New Roman"/>
                <w:color w:val="000000"/>
              </w:rPr>
              <w:t>Sem.</w:t>
            </w:r>
          </w:p>
        </w:tc>
        <w:tc>
          <w:tcPr>
            <w:tcW w:w="597" w:type="dxa"/>
            <w:shd w:val="clear" w:color="auto" w:fill="auto"/>
            <w:noWrap/>
            <w:vAlign w:val="bottom"/>
            <w:hideMark/>
          </w:tcPr>
          <w:p w:rsidR="00830D21" w:rsidRPr="00917DAA" w:rsidRDefault="00830D21" w:rsidP="00830D21">
            <w:pPr>
              <w:spacing w:after="0" w:line="240" w:lineRule="auto"/>
              <w:rPr>
                <w:rFonts w:ascii="Calibri" w:eastAsia="Times New Roman" w:hAnsi="Calibri" w:cs="Times New Roman"/>
                <w:color w:val="000000"/>
              </w:rPr>
            </w:pPr>
            <w:r w:rsidRPr="00917DAA">
              <w:rPr>
                <w:rFonts w:ascii="Calibri" w:eastAsia="Times New Roman" w:hAnsi="Calibri" w:cs="Times New Roman"/>
                <w:color w:val="000000"/>
              </w:rPr>
              <w:t>Pre</w:t>
            </w:r>
          </w:p>
        </w:tc>
        <w:tc>
          <w:tcPr>
            <w:tcW w:w="606" w:type="dxa"/>
            <w:shd w:val="clear" w:color="auto" w:fill="auto"/>
            <w:noWrap/>
            <w:vAlign w:val="bottom"/>
            <w:hideMark/>
          </w:tcPr>
          <w:p w:rsidR="00830D21" w:rsidRPr="00917DAA" w:rsidRDefault="00830D21" w:rsidP="00830D21">
            <w:pPr>
              <w:spacing w:after="0" w:line="240" w:lineRule="auto"/>
              <w:rPr>
                <w:rFonts w:ascii="Calibri" w:eastAsia="Times New Roman" w:hAnsi="Calibri" w:cs="Times New Roman"/>
                <w:color w:val="000000"/>
              </w:rPr>
            </w:pPr>
            <w:r w:rsidRPr="00917DAA">
              <w:rPr>
                <w:rFonts w:ascii="Calibri" w:eastAsia="Times New Roman" w:hAnsi="Calibri" w:cs="Times New Roman"/>
                <w:color w:val="000000"/>
              </w:rPr>
              <w:t>Post</w:t>
            </w:r>
          </w:p>
        </w:tc>
        <w:tc>
          <w:tcPr>
            <w:tcW w:w="597" w:type="dxa"/>
            <w:shd w:val="clear" w:color="auto" w:fill="auto"/>
            <w:noWrap/>
            <w:vAlign w:val="bottom"/>
            <w:hideMark/>
          </w:tcPr>
          <w:p w:rsidR="00830D21" w:rsidRPr="00917DAA" w:rsidRDefault="00830D21" w:rsidP="00830D21">
            <w:pPr>
              <w:spacing w:after="0" w:line="240" w:lineRule="auto"/>
              <w:jc w:val="center"/>
              <w:rPr>
                <w:rFonts w:ascii="Calibri" w:eastAsia="Times New Roman" w:hAnsi="Calibri" w:cs="Times New Roman"/>
              </w:rPr>
            </w:pPr>
            <w:r w:rsidRPr="00917DAA">
              <w:rPr>
                <w:rFonts w:ascii="Calibri" w:eastAsia="Times New Roman" w:hAnsi="Calibri" w:cs="Times New Roman"/>
              </w:rPr>
              <w:t>Δ</w:t>
            </w:r>
          </w:p>
        </w:tc>
      </w:tr>
      <w:tr w:rsidR="00830D21" w:rsidRPr="00917DAA" w:rsidTr="00830D21">
        <w:trPr>
          <w:trHeight w:val="315"/>
        </w:trPr>
        <w:tc>
          <w:tcPr>
            <w:tcW w:w="658" w:type="dxa"/>
            <w:shd w:val="clear" w:color="auto" w:fill="auto"/>
            <w:noWrap/>
            <w:vAlign w:val="bottom"/>
            <w:hideMark/>
          </w:tcPr>
          <w:p w:rsidR="00830D21" w:rsidRPr="00917DAA" w:rsidRDefault="00830D21" w:rsidP="00830D21">
            <w:pPr>
              <w:spacing w:after="0" w:line="240" w:lineRule="auto"/>
              <w:jc w:val="right"/>
              <w:rPr>
                <w:rFonts w:ascii="Calibri" w:eastAsia="Times New Roman" w:hAnsi="Calibri" w:cs="Times New Roman"/>
                <w:color w:val="000000"/>
              </w:rPr>
            </w:pPr>
            <w:r w:rsidRPr="00917DAA">
              <w:rPr>
                <w:rFonts w:ascii="Calibri" w:eastAsia="Times New Roman" w:hAnsi="Calibri" w:cs="Times New Roman"/>
                <w:color w:val="000000"/>
              </w:rPr>
              <w:t>SP14</w:t>
            </w:r>
          </w:p>
        </w:tc>
        <w:tc>
          <w:tcPr>
            <w:tcW w:w="597" w:type="dxa"/>
            <w:shd w:val="clear" w:color="auto" w:fill="auto"/>
            <w:noWrap/>
            <w:vAlign w:val="bottom"/>
            <w:hideMark/>
          </w:tcPr>
          <w:p w:rsidR="00830D21" w:rsidRPr="00917DAA" w:rsidRDefault="00830D21" w:rsidP="00830D21">
            <w:pPr>
              <w:spacing w:after="0" w:line="240" w:lineRule="auto"/>
              <w:jc w:val="center"/>
              <w:rPr>
                <w:rFonts w:ascii="Calibri" w:eastAsia="Times New Roman" w:hAnsi="Calibri" w:cs="Times New Roman"/>
                <w:color w:val="000000"/>
              </w:rPr>
            </w:pPr>
            <w:r w:rsidRPr="00917DAA">
              <w:rPr>
                <w:rFonts w:ascii="Calibri" w:eastAsia="Times New Roman" w:hAnsi="Calibri" w:cs="Times New Roman"/>
                <w:color w:val="000000"/>
              </w:rPr>
              <w:t>38%</w:t>
            </w:r>
          </w:p>
        </w:tc>
        <w:tc>
          <w:tcPr>
            <w:tcW w:w="606" w:type="dxa"/>
            <w:shd w:val="clear" w:color="auto" w:fill="auto"/>
            <w:noWrap/>
            <w:vAlign w:val="bottom"/>
            <w:hideMark/>
          </w:tcPr>
          <w:p w:rsidR="00830D21" w:rsidRPr="00917DAA" w:rsidRDefault="00830D21" w:rsidP="00830D21">
            <w:pPr>
              <w:spacing w:after="0" w:line="240" w:lineRule="auto"/>
              <w:jc w:val="center"/>
              <w:rPr>
                <w:rFonts w:ascii="Calibri" w:eastAsia="Times New Roman" w:hAnsi="Calibri" w:cs="Times New Roman"/>
                <w:color w:val="000000"/>
              </w:rPr>
            </w:pPr>
            <w:r w:rsidRPr="00917DAA">
              <w:rPr>
                <w:rFonts w:ascii="Calibri" w:eastAsia="Times New Roman" w:hAnsi="Calibri" w:cs="Times New Roman"/>
                <w:color w:val="000000"/>
              </w:rPr>
              <w:t>48%</w:t>
            </w:r>
          </w:p>
        </w:tc>
        <w:tc>
          <w:tcPr>
            <w:tcW w:w="597" w:type="dxa"/>
            <w:shd w:val="clear" w:color="auto" w:fill="auto"/>
            <w:noWrap/>
            <w:vAlign w:val="bottom"/>
            <w:hideMark/>
          </w:tcPr>
          <w:p w:rsidR="00830D21" w:rsidRPr="00917DAA" w:rsidRDefault="00830D21" w:rsidP="00830D21">
            <w:pPr>
              <w:spacing w:after="0" w:line="240" w:lineRule="auto"/>
              <w:jc w:val="center"/>
              <w:rPr>
                <w:rFonts w:ascii="Calibri" w:eastAsia="Times New Roman" w:hAnsi="Calibri" w:cs="Times New Roman"/>
                <w:color w:val="000000"/>
              </w:rPr>
            </w:pPr>
            <w:r w:rsidRPr="00917DAA">
              <w:rPr>
                <w:rFonts w:ascii="Calibri" w:eastAsia="Times New Roman" w:hAnsi="Calibri" w:cs="Times New Roman"/>
                <w:color w:val="000000"/>
              </w:rPr>
              <w:t>11%</w:t>
            </w:r>
          </w:p>
        </w:tc>
      </w:tr>
      <w:tr w:rsidR="00830D21" w:rsidRPr="00917DAA" w:rsidTr="00830D21">
        <w:trPr>
          <w:trHeight w:val="315"/>
        </w:trPr>
        <w:tc>
          <w:tcPr>
            <w:tcW w:w="658" w:type="dxa"/>
            <w:shd w:val="clear" w:color="auto" w:fill="auto"/>
            <w:noWrap/>
            <w:vAlign w:val="bottom"/>
            <w:hideMark/>
          </w:tcPr>
          <w:p w:rsidR="00830D21" w:rsidRPr="00917DAA" w:rsidRDefault="00830D21" w:rsidP="00830D21">
            <w:pPr>
              <w:spacing w:after="0" w:line="240" w:lineRule="auto"/>
              <w:jc w:val="right"/>
              <w:rPr>
                <w:rFonts w:ascii="Calibri" w:eastAsia="Times New Roman" w:hAnsi="Calibri" w:cs="Times New Roman"/>
                <w:color w:val="000000"/>
              </w:rPr>
            </w:pPr>
            <w:r w:rsidRPr="00917DAA">
              <w:rPr>
                <w:rFonts w:ascii="Calibri" w:eastAsia="Times New Roman" w:hAnsi="Calibri" w:cs="Times New Roman"/>
                <w:color w:val="000000"/>
              </w:rPr>
              <w:t>SP15</w:t>
            </w:r>
          </w:p>
        </w:tc>
        <w:tc>
          <w:tcPr>
            <w:tcW w:w="597" w:type="dxa"/>
            <w:shd w:val="clear" w:color="auto" w:fill="auto"/>
            <w:noWrap/>
            <w:vAlign w:val="bottom"/>
            <w:hideMark/>
          </w:tcPr>
          <w:p w:rsidR="00830D21" w:rsidRPr="00917DAA" w:rsidRDefault="00830D21" w:rsidP="00830D21">
            <w:pPr>
              <w:spacing w:after="0" w:line="240" w:lineRule="auto"/>
              <w:jc w:val="center"/>
              <w:rPr>
                <w:rFonts w:ascii="Calibri" w:eastAsia="Times New Roman" w:hAnsi="Calibri" w:cs="Times New Roman"/>
                <w:color w:val="000000"/>
              </w:rPr>
            </w:pPr>
            <w:r w:rsidRPr="00917DAA">
              <w:rPr>
                <w:rFonts w:ascii="Calibri" w:eastAsia="Times New Roman" w:hAnsi="Calibri" w:cs="Times New Roman"/>
                <w:color w:val="000000"/>
              </w:rPr>
              <w:t>43%</w:t>
            </w:r>
          </w:p>
        </w:tc>
        <w:tc>
          <w:tcPr>
            <w:tcW w:w="606" w:type="dxa"/>
            <w:shd w:val="clear" w:color="auto" w:fill="auto"/>
            <w:noWrap/>
            <w:vAlign w:val="bottom"/>
            <w:hideMark/>
          </w:tcPr>
          <w:p w:rsidR="00830D21" w:rsidRPr="00917DAA" w:rsidRDefault="00830D21" w:rsidP="00830D21">
            <w:pPr>
              <w:spacing w:after="0" w:line="240" w:lineRule="auto"/>
              <w:jc w:val="center"/>
              <w:rPr>
                <w:rFonts w:ascii="Calibri" w:eastAsia="Times New Roman" w:hAnsi="Calibri" w:cs="Times New Roman"/>
                <w:color w:val="000000"/>
              </w:rPr>
            </w:pPr>
            <w:r w:rsidRPr="00917DAA">
              <w:rPr>
                <w:rFonts w:ascii="Calibri" w:eastAsia="Times New Roman" w:hAnsi="Calibri" w:cs="Times New Roman"/>
                <w:color w:val="000000"/>
              </w:rPr>
              <w:t>53%</w:t>
            </w:r>
          </w:p>
        </w:tc>
        <w:tc>
          <w:tcPr>
            <w:tcW w:w="597" w:type="dxa"/>
            <w:shd w:val="clear" w:color="auto" w:fill="auto"/>
            <w:noWrap/>
            <w:vAlign w:val="bottom"/>
            <w:hideMark/>
          </w:tcPr>
          <w:p w:rsidR="00830D21" w:rsidRPr="00917DAA" w:rsidRDefault="00830D21" w:rsidP="00830D21">
            <w:pPr>
              <w:spacing w:after="0" w:line="240" w:lineRule="auto"/>
              <w:jc w:val="center"/>
              <w:rPr>
                <w:rFonts w:ascii="Calibri" w:eastAsia="Times New Roman" w:hAnsi="Calibri" w:cs="Times New Roman"/>
                <w:color w:val="000000"/>
              </w:rPr>
            </w:pPr>
            <w:r w:rsidRPr="00917DAA">
              <w:rPr>
                <w:rFonts w:ascii="Calibri" w:eastAsia="Times New Roman" w:hAnsi="Calibri" w:cs="Times New Roman"/>
                <w:color w:val="000000"/>
              </w:rPr>
              <w:t>10%</w:t>
            </w:r>
          </w:p>
        </w:tc>
      </w:tr>
    </w:tbl>
    <w:p w:rsidR="00830D21" w:rsidRPr="007A6595" w:rsidRDefault="00830D21" w:rsidP="00A827CB">
      <w:pPr>
        <w:rPr>
          <w:color w:val="FF0000"/>
        </w:rPr>
      </w:pPr>
      <w:r w:rsidRPr="007A6595">
        <w:rPr>
          <w:noProof/>
          <w:color w:val="FF0000"/>
        </w:rPr>
        <w:drawing>
          <wp:anchor distT="0" distB="0" distL="114300" distR="114300" simplePos="0" relativeHeight="251661312" behindDoc="0" locked="0" layoutInCell="1" allowOverlap="1" wp14:anchorId="746A8A7B" wp14:editId="364F7F81">
            <wp:simplePos x="0" y="0"/>
            <wp:positionH relativeFrom="column">
              <wp:posOffset>0</wp:posOffset>
            </wp:positionH>
            <wp:positionV relativeFrom="paragraph">
              <wp:posOffset>287782</wp:posOffset>
            </wp:positionV>
            <wp:extent cx="4288536" cy="2468880"/>
            <wp:effectExtent l="0" t="0" r="17145" b="2667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830D21" w:rsidRDefault="00830D21" w:rsidP="00A827CB"/>
    <w:p w:rsidR="00830D21" w:rsidRDefault="00830D21" w:rsidP="00A827CB"/>
    <w:tbl>
      <w:tblPr>
        <w:tblpPr w:leftFromText="180" w:rightFromText="180" w:vertAnchor="page" w:horzAnchor="margin" w:tblpXSpec="right" w:tblpY="8136"/>
        <w:tblW w:w="25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62"/>
        <w:gridCol w:w="597"/>
        <w:gridCol w:w="606"/>
        <w:gridCol w:w="597"/>
      </w:tblGrid>
      <w:tr w:rsidR="00830D21" w:rsidRPr="00830D21" w:rsidTr="00830D21">
        <w:trPr>
          <w:trHeight w:val="315"/>
        </w:trPr>
        <w:tc>
          <w:tcPr>
            <w:tcW w:w="2562" w:type="dxa"/>
            <w:gridSpan w:val="4"/>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lastRenderedPageBreak/>
              <w:t xml:space="preserve">Intro </w:t>
            </w:r>
            <w:proofErr w:type="spellStart"/>
            <w:r w:rsidRPr="00830D21">
              <w:rPr>
                <w:rFonts w:ascii="Calibri" w:eastAsia="Times New Roman" w:hAnsi="Calibri" w:cs="Times New Roman"/>
                <w:color w:val="000000"/>
              </w:rPr>
              <w:t>Phys</w:t>
            </w:r>
            <w:proofErr w:type="spellEnd"/>
            <w:r w:rsidRPr="00830D21">
              <w:rPr>
                <w:rFonts w:ascii="Calibri" w:eastAsia="Times New Roman" w:hAnsi="Calibri" w:cs="Times New Roman"/>
                <w:color w:val="000000"/>
              </w:rPr>
              <w:t xml:space="preserve"> FCI by Grade</w:t>
            </w:r>
          </w:p>
        </w:tc>
      </w:tr>
      <w:tr w:rsidR="00830D21" w:rsidRPr="00830D21" w:rsidTr="00830D21">
        <w:trPr>
          <w:trHeight w:val="300"/>
        </w:trPr>
        <w:tc>
          <w:tcPr>
            <w:tcW w:w="762" w:type="dxa"/>
            <w:shd w:val="clear" w:color="auto" w:fill="auto"/>
            <w:noWrap/>
            <w:vAlign w:val="bottom"/>
            <w:hideMark/>
          </w:tcPr>
          <w:p w:rsidR="00830D21" w:rsidRPr="00830D21" w:rsidRDefault="00830D21" w:rsidP="00830D21">
            <w:pPr>
              <w:spacing w:after="0" w:line="240" w:lineRule="auto"/>
              <w:jc w:val="right"/>
              <w:rPr>
                <w:rFonts w:ascii="Calibri" w:eastAsia="Times New Roman" w:hAnsi="Calibri" w:cs="Times New Roman"/>
                <w:color w:val="000000"/>
              </w:rPr>
            </w:pPr>
            <w:r w:rsidRPr="00830D21">
              <w:rPr>
                <w:rFonts w:ascii="Calibri" w:eastAsia="Times New Roman" w:hAnsi="Calibri" w:cs="Times New Roman"/>
                <w:color w:val="000000"/>
              </w:rPr>
              <w:t>Grade</w:t>
            </w:r>
          </w:p>
        </w:tc>
        <w:tc>
          <w:tcPr>
            <w:tcW w:w="597" w:type="dxa"/>
            <w:shd w:val="clear" w:color="auto" w:fill="auto"/>
            <w:noWrap/>
            <w:vAlign w:val="bottom"/>
            <w:hideMark/>
          </w:tcPr>
          <w:p w:rsidR="00830D21" w:rsidRPr="00830D21" w:rsidRDefault="00830D21" w:rsidP="00830D21">
            <w:pPr>
              <w:spacing w:after="0" w:line="240" w:lineRule="auto"/>
              <w:rPr>
                <w:rFonts w:ascii="Calibri" w:eastAsia="Times New Roman" w:hAnsi="Calibri" w:cs="Times New Roman"/>
                <w:color w:val="000000"/>
              </w:rPr>
            </w:pPr>
            <w:r w:rsidRPr="00830D21">
              <w:rPr>
                <w:rFonts w:ascii="Calibri" w:eastAsia="Times New Roman" w:hAnsi="Calibri" w:cs="Times New Roman"/>
                <w:color w:val="000000"/>
              </w:rPr>
              <w:t>Pre</w:t>
            </w:r>
          </w:p>
        </w:tc>
        <w:tc>
          <w:tcPr>
            <w:tcW w:w="606" w:type="dxa"/>
            <w:shd w:val="clear" w:color="auto" w:fill="auto"/>
            <w:noWrap/>
            <w:vAlign w:val="bottom"/>
            <w:hideMark/>
          </w:tcPr>
          <w:p w:rsidR="00830D21" w:rsidRPr="00830D21" w:rsidRDefault="00830D21" w:rsidP="00830D21">
            <w:pPr>
              <w:spacing w:after="0" w:line="240" w:lineRule="auto"/>
              <w:rPr>
                <w:rFonts w:ascii="Calibri" w:eastAsia="Times New Roman" w:hAnsi="Calibri" w:cs="Times New Roman"/>
                <w:color w:val="000000"/>
              </w:rPr>
            </w:pPr>
            <w:r w:rsidRPr="00830D21">
              <w:rPr>
                <w:rFonts w:ascii="Calibri" w:eastAsia="Times New Roman" w:hAnsi="Calibri" w:cs="Times New Roman"/>
                <w:color w:val="000000"/>
              </w:rPr>
              <w:t>Post</w:t>
            </w:r>
          </w:p>
        </w:tc>
        <w:tc>
          <w:tcPr>
            <w:tcW w:w="597"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rPr>
            </w:pPr>
            <w:r w:rsidRPr="00830D21">
              <w:rPr>
                <w:rFonts w:ascii="Calibri" w:eastAsia="Times New Roman" w:hAnsi="Calibri" w:cs="Times New Roman"/>
              </w:rPr>
              <w:t>Δ</w:t>
            </w:r>
          </w:p>
        </w:tc>
      </w:tr>
      <w:tr w:rsidR="00830D21" w:rsidRPr="00830D21" w:rsidTr="00830D21">
        <w:trPr>
          <w:trHeight w:val="315"/>
        </w:trPr>
        <w:tc>
          <w:tcPr>
            <w:tcW w:w="762"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A</w:t>
            </w:r>
          </w:p>
        </w:tc>
        <w:tc>
          <w:tcPr>
            <w:tcW w:w="597"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49%</w:t>
            </w:r>
          </w:p>
        </w:tc>
        <w:tc>
          <w:tcPr>
            <w:tcW w:w="606"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64%</w:t>
            </w:r>
          </w:p>
        </w:tc>
        <w:tc>
          <w:tcPr>
            <w:tcW w:w="597"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14%</w:t>
            </w:r>
          </w:p>
        </w:tc>
      </w:tr>
      <w:tr w:rsidR="00830D21" w:rsidRPr="00830D21" w:rsidTr="00830D21">
        <w:trPr>
          <w:trHeight w:val="315"/>
        </w:trPr>
        <w:tc>
          <w:tcPr>
            <w:tcW w:w="762"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B</w:t>
            </w:r>
          </w:p>
        </w:tc>
        <w:tc>
          <w:tcPr>
            <w:tcW w:w="597"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39%</w:t>
            </w:r>
          </w:p>
        </w:tc>
        <w:tc>
          <w:tcPr>
            <w:tcW w:w="606"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48%</w:t>
            </w:r>
          </w:p>
        </w:tc>
        <w:tc>
          <w:tcPr>
            <w:tcW w:w="597"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10%</w:t>
            </w:r>
          </w:p>
        </w:tc>
      </w:tr>
      <w:tr w:rsidR="00830D21" w:rsidRPr="00830D21" w:rsidTr="00830D21">
        <w:trPr>
          <w:trHeight w:val="300"/>
        </w:trPr>
        <w:tc>
          <w:tcPr>
            <w:tcW w:w="762"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C</w:t>
            </w:r>
          </w:p>
        </w:tc>
        <w:tc>
          <w:tcPr>
            <w:tcW w:w="597"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45%</w:t>
            </w:r>
          </w:p>
        </w:tc>
        <w:tc>
          <w:tcPr>
            <w:tcW w:w="606"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50%</w:t>
            </w:r>
          </w:p>
        </w:tc>
        <w:tc>
          <w:tcPr>
            <w:tcW w:w="597"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5%</w:t>
            </w:r>
          </w:p>
        </w:tc>
      </w:tr>
      <w:tr w:rsidR="00830D21" w:rsidRPr="00830D21" w:rsidTr="00830D21">
        <w:trPr>
          <w:trHeight w:val="300"/>
        </w:trPr>
        <w:tc>
          <w:tcPr>
            <w:tcW w:w="762"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D</w:t>
            </w:r>
          </w:p>
        </w:tc>
        <w:tc>
          <w:tcPr>
            <w:tcW w:w="597"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30%</w:t>
            </w:r>
          </w:p>
        </w:tc>
        <w:tc>
          <w:tcPr>
            <w:tcW w:w="606"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46%</w:t>
            </w:r>
          </w:p>
        </w:tc>
        <w:tc>
          <w:tcPr>
            <w:tcW w:w="597"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16%</w:t>
            </w:r>
          </w:p>
        </w:tc>
      </w:tr>
      <w:tr w:rsidR="00830D21" w:rsidRPr="00830D21" w:rsidTr="00830D21">
        <w:trPr>
          <w:trHeight w:val="315"/>
        </w:trPr>
        <w:tc>
          <w:tcPr>
            <w:tcW w:w="762"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lastRenderedPageBreak/>
              <w:t>F</w:t>
            </w:r>
          </w:p>
        </w:tc>
        <w:tc>
          <w:tcPr>
            <w:tcW w:w="597"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N/A</w:t>
            </w:r>
          </w:p>
        </w:tc>
        <w:tc>
          <w:tcPr>
            <w:tcW w:w="606"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N/A</w:t>
            </w:r>
          </w:p>
        </w:tc>
        <w:tc>
          <w:tcPr>
            <w:tcW w:w="597" w:type="dxa"/>
            <w:shd w:val="clear" w:color="auto" w:fill="auto"/>
            <w:noWrap/>
            <w:vAlign w:val="bottom"/>
            <w:hideMark/>
          </w:tcPr>
          <w:p w:rsidR="00830D21" w:rsidRPr="00830D21" w:rsidRDefault="00830D21" w:rsidP="00830D21">
            <w:pPr>
              <w:spacing w:after="0" w:line="240" w:lineRule="auto"/>
              <w:jc w:val="center"/>
              <w:rPr>
                <w:rFonts w:ascii="Calibri" w:eastAsia="Times New Roman" w:hAnsi="Calibri" w:cs="Times New Roman"/>
                <w:color w:val="000000"/>
              </w:rPr>
            </w:pPr>
            <w:r w:rsidRPr="00830D21">
              <w:rPr>
                <w:rFonts w:ascii="Calibri" w:eastAsia="Times New Roman" w:hAnsi="Calibri" w:cs="Times New Roman"/>
                <w:color w:val="000000"/>
              </w:rPr>
              <w:t>N/A</w:t>
            </w:r>
          </w:p>
        </w:tc>
      </w:tr>
    </w:tbl>
    <w:p w:rsidR="00830D21" w:rsidRDefault="00830D21" w:rsidP="00A827CB"/>
    <w:p w:rsidR="00830D21" w:rsidRDefault="00830D21" w:rsidP="00A827CB"/>
    <w:p w:rsidR="00830D21" w:rsidRDefault="00830D21" w:rsidP="00A827CB"/>
    <w:p w:rsidR="00830D21" w:rsidRDefault="00830D21" w:rsidP="00A827CB"/>
    <w:p w:rsidR="00830D21" w:rsidRDefault="00830D21" w:rsidP="00A827CB"/>
    <w:p w:rsidR="00830D21" w:rsidRDefault="00830D21" w:rsidP="00A827CB"/>
    <w:p w:rsidR="00124B8E" w:rsidRPr="00124B8E" w:rsidRDefault="00124B8E" w:rsidP="00124B8E">
      <w:pPr>
        <w:pStyle w:val="Heading2"/>
      </w:pPr>
      <w:r w:rsidRPr="00124B8E">
        <w:t>Interpretation of Results</w:t>
      </w:r>
    </w:p>
    <w:p w:rsidR="00124B8E" w:rsidRDefault="00124B8E" w:rsidP="00124B8E">
      <w:r>
        <w:t>Success rates in Survey dropped sharply from AY10/11 to AY11/12, but have been steadily increasing since then. Grade records from the individual courses show that all students who failed Survey from FA11 to SP14 failed due to simply not turning in lab reports, rather than poor grades in other areas.</w:t>
      </w:r>
      <w:r w:rsidR="00917DAA">
        <w:t xml:space="preserve"> The Force Concept Inventory assessment tool shows that despite decreasing pre-test scores, students are consistently leaving the course with a significantly better conceptual understanding of physics.</w:t>
      </w:r>
      <w:r w:rsidR="00830D21">
        <w:t xml:space="preserve"> Pre-test scores don’t seem to have much ability to predict student success in the course, except for those with very low scores. Post-test scores correlate well with student grades in the course.</w:t>
      </w:r>
    </w:p>
    <w:p w:rsidR="00124B8E" w:rsidRDefault="00124B8E" w:rsidP="00124B8E">
      <w:r>
        <w:t>In Intro Physics, low student success rates in 2014 may be partially due to a particularly error-filled textbook which confused the students and decreased their confidence both in the material and in their own abilities, as the answers to homework problems provided in the book were usually incorrect.</w:t>
      </w:r>
      <w:r w:rsidR="00BE08F3">
        <w:t xml:space="preserve"> Examination of grade records from SP14 and </w:t>
      </w:r>
      <w:r w:rsidR="00BE08F3">
        <w:lastRenderedPageBreak/>
        <w:t xml:space="preserve">SP15 showed that all students failing in SP14 were due to poor exam grades, while the all students failing to complete Intro Physics in SP15 withdrew or failed due to simply not turning in lab reports or other assignments. </w:t>
      </w:r>
      <w:r w:rsidR="00917DAA">
        <w:t>The Force Concept Inventory assessment tool shows a consistent improvement of student understanding of physics concepts.</w:t>
      </w:r>
      <w:r w:rsidR="00830D21">
        <w:t xml:space="preserve"> Pre-test scores don’t seem to have much ability to predict student success in the course, </w:t>
      </w:r>
      <w:r w:rsidR="0066408A">
        <w:t>except for those with very low scores. Post-test scores correlate roughly with student grades in the course.</w:t>
      </w:r>
    </w:p>
    <w:p w:rsidR="00FB603E" w:rsidRDefault="00FB603E" w:rsidP="00FB603E">
      <w:pPr>
        <w:pStyle w:val="Heading2"/>
      </w:pPr>
      <w:r>
        <w:t>Assessment Plan</w:t>
      </w:r>
    </w:p>
    <w:p w:rsidR="00377D2C" w:rsidRDefault="00377D2C" w:rsidP="00377D2C">
      <w:r>
        <w:t>In addition to tracking typical data such as success rates in each course, the Physical Science Program has several ongoing assessment goals.</w:t>
      </w:r>
    </w:p>
    <w:p w:rsidR="00377D2C" w:rsidRDefault="00377D2C" w:rsidP="00377D2C">
      <w:pPr>
        <w:pStyle w:val="ListParagraph"/>
        <w:numPr>
          <w:ilvl w:val="0"/>
          <w:numId w:val="6"/>
        </w:numPr>
      </w:pPr>
      <w:r>
        <w:t>M</w:t>
      </w:r>
      <w:r w:rsidRPr="00846FE1">
        <w:t>onitor the success rates in degree programs for students successfully completing</w:t>
      </w:r>
      <w:r>
        <w:t xml:space="preserve"> </w:t>
      </w:r>
      <w:r w:rsidR="00094EC1">
        <w:t>Intro Physics</w:t>
      </w:r>
      <w:r>
        <w:t>.</w:t>
      </w:r>
    </w:p>
    <w:p w:rsidR="00377D2C" w:rsidRDefault="00377D2C" w:rsidP="00377D2C">
      <w:pPr>
        <w:pStyle w:val="ListParagraph"/>
        <w:numPr>
          <w:ilvl w:val="0"/>
          <w:numId w:val="6"/>
        </w:numPr>
      </w:pPr>
      <w:r>
        <w:t xml:space="preserve">Analyze final exams in </w:t>
      </w:r>
      <w:r w:rsidR="00830D21">
        <w:t>Intro</w:t>
      </w:r>
      <w:r>
        <w:t xml:space="preserve"> Physics to </w:t>
      </w:r>
      <w:r w:rsidRPr="00846FE1">
        <w:t>compare successful versus unsuccessful students to help isolate particular skill and concept areas that separate successful and unsuccessful students.</w:t>
      </w:r>
    </w:p>
    <w:p w:rsidR="00377D2C" w:rsidRDefault="00377D2C" w:rsidP="00377D2C">
      <w:pPr>
        <w:pStyle w:val="ListParagraph"/>
        <w:numPr>
          <w:ilvl w:val="0"/>
          <w:numId w:val="6"/>
        </w:numPr>
      </w:pPr>
      <w:r>
        <w:t>C</w:t>
      </w:r>
      <w:r w:rsidRPr="00846FE1">
        <w:t>ompar</w:t>
      </w:r>
      <w:r>
        <w:t>e</w:t>
      </w:r>
      <w:r w:rsidRPr="00846FE1">
        <w:t xml:space="preserve"> pre</w:t>
      </w:r>
      <w:r w:rsidR="00094EC1">
        <w:t>-</w:t>
      </w:r>
      <w:r w:rsidRPr="00846FE1">
        <w:t xml:space="preserve"> and post</w:t>
      </w:r>
      <w:r w:rsidR="00094EC1">
        <w:t>-</w:t>
      </w:r>
      <w:r w:rsidRPr="00846FE1">
        <w:t xml:space="preserve">test scores in </w:t>
      </w:r>
      <w:r w:rsidR="00094EC1">
        <w:t xml:space="preserve">Survey </w:t>
      </w:r>
      <w:r>
        <w:t xml:space="preserve">Physical Science </w:t>
      </w:r>
      <w:r w:rsidR="00094EC1">
        <w:t xml:space="preserve">and Intro Physics </w:t>
      </w:r>
      <w:r w:rsidRPr="00846FE1">
        <w:t xml:space="preserve">to determine </w:t>
      </w:r>
      <w:r w:rsidRPr="009A79C2">
        <w:t xml:space="preserve">weaknesses in </w:t>
      </w:r>
      <w:r>
        <w:t xml:space="preserve">student understanding for those coming into and leaving </w:t>
      </w:r>
      <w:r w:rsidRPr="009A79C2">
        <w:t>these courses.</w:t>
      </w:r>
    </w:p>
    <w:p w:rsidR="007A6595" w:rsidRPr="00095B22" w:rsidRDefault="008D62C4" w:rsidP="00377D2C">
      <w:pPr>
        <w:pStyle w:val="ListParagraph"/>
        <w:numPr>
          <w:ilvl w:val="0"/>
          <w:numId w:val="6"/>
        </w:numPr>
        <w:rPr>
          <w:color w:val="000000" w:themeColor="text1"/>
        </w:rPr>
      </w:pPr>
      <w:r w:rsidRPr="00095B22">
        <w:rPr>
          <w:color w:val="000000" w:themeColor="text1"/>
        </w:rPr>
        <w:t xml:space="preserve">Develop a plan to increase the </w:t>
      </w:r>
      <w:r w:rsidR="00AE35C1" w:rsidRPr="00095B22">
        <w:rPr>
          <w:color w:val="000000" w:themeColor="text1"/>
        </w:rPr>
        <w:t>completion rate of lab reports, including continuing to inform students of the importance of lab reports.</w:t>
      </w:r>
    </w:p>
    <w:p w:rsidR="007A6595" w:rsidRDefault="00095B22" w:rsidP="00377D2C">
      <w:pPr>
        <w:pStyle w:val="ListParagraph"/>
        <w:numPr>
          <w:ilvl w:val="0"/>
          <w:numId w:val="6"/>
        </w:numPr>
        <w:rPr>
          <w:color w:val="000000" w:themeColor="text1"/>
        </w:rPr>
      </w:pPr>
      <w:r w:rsidRPr="00095B22">
        <w:rPr>
          <w:color w:val="000000" w:themeColor="text1"/>
        </w:rPr>
        <w:t>Improve enrollment by promoting Survey as a fun lab-based science course for the various majors it serves.</w:t>
      </w:r>
    </w:p>
    <w:p w:rsidR="00BD10CE" w:rsidRPr="00095B22" w:rsidRDefault="00BD10CE" w:rsidP="00377D2C">
      <w:pPr>
        <w:pStyle w:val="ListParagraph"/>
        <w:numPr>
          <w:ilvl w:val="0"/>
          <w:numId w:val="6"/>
        </w:numPr>
        <w:rPr>
          <w:color w:val="000000" w:themeColor="text1"/>
        </w:rPr>
      </w:pPr>
      <w:r>
        <w:rPr>
          <w:color w:val="000000" w:themeColor="text1"/>
        </w:rPr>
        <w:t>Evaluate and inventory laboratory equipment in order to update and replace outdated and broken/worn out equipment.</w:t>
      </w:r>
    </w:p>
    <w:p w:rsidR="00761C6D" w:rsidRDefault="00761C6D"/>
    <w:sectPr w:rsidR="00761C6D" w:rsidSect="008A4B4C">
      <w:headerReference w:type="defaul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CE1" w:rsidRDefault="00836CE1" w:rsidP="008A4B4C">
      <w:pPr>
        <w:spacing w:after="0" w:line="240" w:lineRule="auto"/>
      </w:pPr>
      <w:r>
        <w:separator/>
      </w:r>
    </w:p>
  </w:endnote>
  <w:endnote w:type="continuationSeparator" w:id="0">
    <w:p w:rsidR="00836CE1" w:rsidRDefault="00836CE1" w:rsidP="008A4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CE1" w:rsidRDefault="00836CE1" w:rsidP="008A4B4C">
      <w:pPr>
        <w:spacing w:after="0" w:line="240" w:lineRule="auto"/>
      </w:pPr>
      <w:r>
        <w:separator/>
      </w:r>
    </w:p>
  </w:footnote>
  <w:footnote w:type="continuationSeparator" w:id="0">
    <w:p w:rsidR="00836CE1" w:rsidRDefault="00836CE1" w:rsidP="008A4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D46" w:rsidRPr="00AB7D46" w:rsidRDefault="007F202F" w:rsidP="00AB7D46">
    <w:pPr>
      <w:pStyle w:val="Header"/>
      <w:jc w:val="center"/>
      <w:rPr>
        <w:sz w:val="36"/>
        <w:szCs w:val="36"/>
      </w:rPr>
    </w:pPr>
  </w:p>
  <w:p w:rsidR="00AB7D46" w:rsidRDefault="007F20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157BF"/>
    <w:multiLevelType w:val="hybridMultilevel"/>
    <w:tmpl w:val="4FA24C4E"/>
    <w:lvl w:ilvl="0" w:tplc="D81059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C00F9"/>
    <w:multiLevelType w:val="hybridMultilevel"/>
    <w:tmpl w:val="DECA97D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158443A"/>
    <w:multiLevelType w:val="hybridMultilevel"/>
    <w:tmpl w:val="242E458C"/>
    <w:lvl w:ilvl="0" w:tplc="7CE032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B00577"/>
    <w:multiLevelType w:val="hybridMultilevel"/>
    <w:tmpl w:val="AD84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C649D7"/>
    <w:multiLevelType w:val="hybridMultilevel"/>
    <w:tmpl w:val="134E0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E91FF1"/>
    <w:multiLevelType w:val="hybridMultilevel"/>
    <w:tmpl w:val="6974F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50"/>
    <w:rsid w:val="00094EC1"/>
    <w:rsid w:val="00095B22"/>
    <w:rsid w:val="001229E0"/>
    <w:rsid w:val="00124B8E"/>
    <w:rsid w:val="001D182A"/>
    <w:rsid w:val="00252443"/>
    <w:rsid w:val="002A5B3E"/>
    <w:rsid w:val="002B7713"/>
    <w:rsid w:val="00375725"/>
    <w:rsid w:val="00377D2C"/>
    <w:rsid w:val="00473EB5"/>
    <w:rsid w:val="004F1DD1"/>
    <w:rsid w:val="00581C38"/>
    <w:rsid w:val="005D5750"/>
    <w:rsid w:val="0066408A"/>
    <w:rsid w:val="006E09B7"/>
    <w:rsid w:val="00761C6D"/>
    <w:rsid w:val="007A6595"/>
    <w:rsid w:val="007B4E15"/>
    <w:rsid w:val="007D6AA7"/>
    <w:rsid w:val="007F202F"/>
    <w:rsid w:val="00830D21"/>
    <w:rsid w:val="00836CE1"/>
    <w:rsid w:val="00837B78"/>
    <w:rsid w:val="008A4B4C"/>
    <w:rsid w:val="008D62C4"/>
    <w:rsid w:val="008E4A29"/>
    <w:rsid w:val="00917DAA"/>
    <w:rsid w:val="00960439"/>
    <w:rsid w:val="00991E35"/>
    <w:rsid w:val="009D4B65"/>
    <w:rsid w:val="00A170F3"/>
    <w:rsid w:val="00A6204F"/>
    <w:rsid w:val="00A827CB"/>
    <w:rsid w:val="00AC60E8"/>
    <w:rsid w:val="00AD17CB"/>
    <w:rsid w:val="00AE30E5"/>
    <w:rsid w:val="00AE35C1"/>
    <w:rsid w:val="00B11722"/>
    <w:rsid w:val="00B76415"/>
    <w:rsid w:val="00BD10CE"/>
    <w:rsid w:val="00BE08F3"/>
    <w:rsid w:val="00C4304E"/>
    <w:rsid w:val="00D6343C"/>
    <w:rsid w:val="00D72825"/>
    <w:rsid w:val="00D91BD2"/>
    <w:rsid w:val="00EB4F2E"/>
    <w:rsid w:val="00ED08A3"/>
    <w:rsid w:val="00F07F41"/>
    <w:rsid w:val="00F608C6"/>
    <w:rsid w:val="00FB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A65E9-BC4C-44D4-8C9F-8FB2CB9A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B603E"/>
    <w:pPr>
      <w:keepNext/>
      <w:keepLines/>
      <w:pBdr>
        <w:bottom w:val="single" w:sz="4" w:space="1" w:color="auto"/>
      </w:pBdr>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B4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A4B4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4B4C"/>
    <w:rPr>
      <w:color w:val="0000FF" w:themeColor="hyperlink"/>
      <w:u w:val="single"/>
    </w:rPr>
  </w:style>
  <w:style w:type="paragraph" w:styleId="BalloonText">
    <w:name w:val="Balloon Text"/>
    <w:basedOn w:val="Normal"/>
    <w:link w:val="BalloonTextChar"/>
    <w:uiPriority w:val="99"/>
    <w:semiHidden/>
    <w:unhideWhenUsed/>
    <w:rsid w:val="008A4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4C"/>
    <w:rPr>
      <w:rFonts w:ascii="Tahoma" w:hAnsi="Tahoma" w:cs="Tahoma"/>
      <w:sz w:val="16"/>
      <w:szCs w:val="16"/>
    </w:rPr>
  </w:style>
  <w:style w:type="paragraph" w:styleId="Footer">
    <w:name w:val="footer"/>
    <w:basedOn w:val="Normal"/>
    <w:link w:val="FooterChar"/>
    <w:uiPriority w:val="99"/>
    <w:unhideWhenUsed/>
    <w:rsid w:val="008A4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B4C"/>
  </w:style>
  <w:style w:type="paragraph" w:styleId="Title">
    <w:name w:val="Title"/>
    <w:basedOn w:val="Normal"/>
    <w:next w:val="Normal"/>
    <w:link w:val="TitleChar"/>
    <w:uiPriority w:val="10"/>
    <w:qFormat/>
    <w:rsid w:val="00917DAA"/>
    <w:pPr>
      <w:spacing w:after="12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7DA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72825"/>
    <w:pPr>
      <w:ind w:left="720"/>
      <w:contextualSpacing/>
    </w:pPr>
  </w:style>
  <w:style w:type="character" w:customStyle="1" w:styleId="Heading2Char">
    <w:name w:val="Heading 2 Char"/>
    <w:basedOn w:val="DefaultParagraphFont"/>
    <w:link w:val="Heading2"/>
    <w:uiPriority w:val="9"/>
    <w:rsid w:val="00FB603E"/>
    <w:rPr>
      <w:rFonts w:asciiTheme="majorHAnsi" w:eastAsiaTheme="majorEastAsia" w:hAnsiTheme="majorHAnsi" w:cstheme="majorBidi"/>
      <w:b/>
      <w:bCs/>
      <w:color w:val="000000" w:themeColor="text1"/>
      <w:sz w:val="26"/>
      <w:szCs w:val="26"/>
    </w:rPr>
  </w:style>
  <w:style w:type="paragraph" w:styleId="NoSpacing">
    <w:name w:val="No Spacing"/>
    <w:uiPriority w:val="1"/>
    <w:qFormat/>
    <w:rsid w:val="00B764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064989">
      <w:bodyDiv w:val="1"/>
      <w:marLeft w:val="0"/>
      <w:marRight w:val="0"/>
      <w:marTop w:val="0"/>
      <w:marBottom w:val="0"/>
      <w:divBdr>
        <w:top w:val="none" w:sz="0" w:space="0" w:color="auto"/>
        <w:left w:val="none" w:sz="0" w:space="0" w:color="auto"/>
        <w:bottom w:val="none" w:sz="0" w:space="0" w:color="auto"/>
        <w:right w:val="none" w:sz="0" w:space="0" w:color="auto"/>
      </w:divBdr>
    </w:div>
    <w:div w:id="670982998">
      <w:bodyDiv w:val="1"/>
      <w:marLeft w:val="0"/>
      <w:marRight w:val="0"/>
      <w:marTop w:val="0"/>
      <w:marBottom w:val="0"/>
      <w:divBdr>
        <w:top w:val="none" w:sz="0" w:space="0" w:color="auto"/>
        <w:left w:val="none" w:sz="0" w:space="0" w:color="auto"/>
        <w:bottom w:val="none" w:sz="0" w:space="0" w:color="auto"/>
        <w:right w:val="none" w:sz="0" w:space="0" w:color="auto"/>
      </w:divBdr>
    </w:div>
    <w:div w:id="686909832">
      <w:bodyDiv w:val="1"/>
      <w:marLeft w:val="0"/>
      <w:marRight w:val="0"/>
      <w:marTop w:val="0"/>
      <w:marBottom w:val="0"/>
      <w:divBdr>
        <w:top w:val="none" w:sz="0" w:space="0" w:color="auto"/>
        <w:left w:val="none" w:sz="0" w:space="0" w:color="auto"/>
        <w:bottom w:val="none" w:sz="0" w:space="0" w:color="auto"/>
        <w:right w:val="none" w:sz="0" w:space="0" w:color="auto"/>
      </w:divBdr>
    </w:div>
    <w:div w:id="814839598">
      <w:bodyDiv w:val="1"/>
      <w:marLeft w:val="0"/>
      <w:marRight w:val="0"/>
      <w:marTop w:val="0"/>
      <w:marBottom w:val="0"/>
      <w:divBdr>
        <w:top w:val="none" w:sz="0" w:space="0" w:color="auto"/>
        <w:left w:val="none" w:sz="0" w:space="0" w:color="auto"/>
        <w:bottom w:val="none" w:sz="0" w:space="0" w:color="auto"/>
        <w:right w:val="none" w:sz="0" w:space="0" w:color="auto"/>
      </w:divBdr>
    </w:div>
    <w:div w:id="114119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ni-blue\Desktop\ECC\PhysSci%205yr%20Program%20Review\Physical%20Science%20Program%20Review%20new.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ni-blue\Desktop\ECC\PhysSci%205yr%20Program%20Review\Physical%20Science%20Program%20Review%20ne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latin typeface="Times New Roman" panose="02020603050405020304" pitchFamily="18" charset="0"/>
                <a:cs typeface="Times New Roman" panose="02020603050405020304" pitchFamily="18" charset="0"/>
              </a:rPr>
              <a:t>Survey Physical</a:t>
            </a:r>
            <a:r>
              <a:rPr lang="en-US" sz="1200" b="1" baseline="0">
                <a:solidFill>
                  <a:schemeClr val="tx1"/>
                </a:solidFill>
                <a:latin typeface="Times New Roman" panose="02020603050405020304" pitchFamily="18" charset="0"/>
                <a:cs typeface="Times New Roman" panose="02020603050405020304" pitchFamily="18" charset="0"/>
              </a:rPr>
              <a:t> Science </a:t>
            </a:r>
            <a:r>
              <a:rPr lang="en-US" sz="1200" b="1">
                <a:solidFill>
                  <a:schemeClr val="tx1"/>
                </a:solidFill>
                <a:latin typeface="Times New Roman" panose="02020603050405020304" pitchFamily="18" charset="0"/>
                <a:cs typeface="Times New Roman" panose="02020603050405020304" pitchFamily="18" charset="0"/>
              </a:rPr>
              <a:t>Success Rates</a:t>
            </a:r>
          </a:p>
        </c:rich>
      </c:tx>
      <c:layout/>
      <c:overlay val="0"/>
      <c:spPr>
        <a:noFill/>
        <a:ln>
          <a:noFill/>
        </a:ln>
        <a:effectLst/>
      </c:spPr>
    </c:title>
    <c:autoTitleDeleted val="0"/>
    <c:plotArea>
      <c:layout/>
      <c:barChart>
        <c:barDir val="col"/>
        <c:grouping val="clustered"/>
        <c:varyColors val="0"/>
        <c:ser>
          <c:idx val="0"/>
          <c:order val="0"/>
          <c:tx>
            <c:strRef>
              <c:f>'Success Rates (2)'!$M$4</c:f>
              <c:strCache>
                <c:ptCount val="1"/>
                <c:pt idx="0">
                  <c:v>ABC</c:v>
                </c:pt>
              </c:strCache>
            </c:strRef>
          </c:tx>
          <c:spPr>
            <a:solidFill>
              <a:schemeClr val="accent1"/>
            </a:solidFill>
            <a:ln>
              <a:noFill/>
            </a:ln>
            <a:effectLst/>
          </c:spPr>
          <c:invertIfNegative val="0"/>
          <c:cat>
            <c:strRef>
              <c:f>'Success Rates (2)'!$L$5:$L$12</c:f>
              <c:strCache>
                <c:ptCount val="8"/>
                <c:pt idx="0">
                  <c:v>07/08</c:v>
                </c:pt>
                <c:pt idx="1">
                  <c:v>08/09</c:v>
                </c:pt>
                <c:pt idx="2">
                  <c:v>09/10</c:v>
                </c:pt>
                <c:pt idx="3">
                  <c:v>10/11</c:v>
                </c:pt>
                <c:pt idx="4">
                  <c:v>11/12</c:v>
                </c:pt>
                <c:pt idx="5">
                  <c:v>12/13</c:v>
                </c:pt>
                <c:pt idx="6">
                  <c:v>13/14</c:v>
                </c:pt>
                <c:pt idx="7">
                  <c:v>14/15</c:v>
                </c:pt>
              </c:strCache>
            </c:strRef>
          </c:cat>
          <c:val>
            <c:numRef>
              <c:f>'Success Rates (2)'!$M$5:$M$12</c:f>
              <c:numCache>
                <c:formatCode>0%</c:formatCode>
                <c:ptCount val="8"/>
                <c:pt idx="0">
                  <c:v>0.85</c:v>
                </c:pt>
                <c:pt idx="1">
                  <c:v>0.93548387096774188</c:v>
                </c:pt>
                <c:pt idx="2">
                  <c:v>0.87671232876712324</c:v>
                </c:pt>
                <c:pt idx="3">
                  <c:v>0.86792452830188682</c:v>
                </c:pt>
                <c:pt idx="4">
                  <c:v>0.66666666666666663</c:v>
                </c:pt>
                <c:pt idx="5">
                  <c:v>0.69696969696969702</c:v>
                </c:pt>
                <c:pt idx="6">
                  <c:v>0.73170731707317072</c:v>
                </c:pt>
                <c:pt idx="7">
                  <c:v>0.88461538461538458</c:v>
                </c:pt>
              </c:numCache>
            </c:numRef>
          </c:val>
        </c:ser>
        <c:ser>
          <c:idx val="1"/>
          <c:order val="1"/>
          <c:tx>
            <c:strRef>
              <c:f>'Success Rates (2)'!$N$4</c:f>
              <c:strCache>
                <c:ptCount val="1"/>
                <c:pt idx="0">
                  <c:v>DF</c:v>
                </c:pt>
              </c:strCache>
            </c:strRef>
          </c:tx>
          <c:spPr>
            <a:solidFill>
              <a:schemeClr val="accent2"/>
            </a:solidFill>
            <a:ln>
              <a:noFill/>
            </a:ln>
            <a:effectLst/>
          </c:spPr>
          <c:invertIfNegative val="0"/>
          <c:cat>
            <c:strRef>
              <c:f>'Success Rates (2)'!$L$5:$L$12</c:f>
              <c:strCache>
                <c:ptCount val="8"/>
                <c:pt idx="0">
                  <c:v>07/08</c:v>
                </c:pt>
                <c:pt idx="1">
                  <c:v>08/09</c:v>
                </c:pt>
                <c:pt idx="2">
                  <c:v>09/10</c:v>
                </c:pt>
                <c:pt idx="3">
                  <c:v>10/11</c:v>
                </c:pt>
                <c:pt idx="4">
                  <c:v>11/12</c:v>
                </c:pt>
                <c:pt idx="5">
                  <c:v>12/13</c:v>
                </c:pt>
                <c:pt idx="6">
                  <c:v>13/14</c:v>
                </c:pt>
                <c:pt idx="7">
                  <c:v>14/15</c:v>
                </c:pt>
              </c:strCache>
            </c:strRef>
          </c:cat>
          <c:val>
            <c:numRef>
              <c:f>'Success Rates (2)'!$N$5:$N$12</c:f>
              <c:numCache>
                <c:formatCode>0%</c:formatCode>
                <c:ptCount val="8"/>
                <c:pt idx="0">
                  <c:v>0.05</c:v>
                </c:pt>
                <c:pt idx="1">
                  <c:v>3.2258064516129031E-2</c:v>
                </c:pt>
                <c:pt idx="2">
                  <c:v>0.1095890410958904</c:v>
                </c:pt>
                <c:pt idx="3">
                  <c:v>0.11320754716981132</c:v>
                </c:pt>
                <c:pt idx="4">
                  <c:v>0.26666666666666666</c:v>
                </c:pt>
                <c:pt idx="5">
                  <c:v>0.24242424242424243</c:v>
                </c:pt>
                <c:pt idx="6">
                  <c:v>0.17073170731707318</c:v>
                </c:pt>
                <c:pt idx="7">
                  <c:v>7.6923076923076927E-2</c:v>
                </c:pt>
              </c:numCache>
            </c:numRef>
          </c:val>
        </c:ser>
        <c:ser>
          <c:idx val="2"/>
          <c:order val="2"/>
          <c:tx>
            <c:strRef>
              <c:f>'Success Rates (2)'!$O$4</c:f>
              <c:strCache>
                <c:ptCount val="1"/>
                <c:pt idx="0">
                  <c:v>W/WX</c:v>
                </c:pt>
              </c:strCache>
            </c:strRef>
          </c:tx>
          <c:spPr>
            <a:solidFill>
              <a:schemeClr val="accent3"/>
            </a:solidFill>
            <a:ln>
              <a:noFill/>
            </a:ln>
            <a:effectLst/>
          </c:spPr>
          <c:invertIfNegative val="0"/>
          <c:cat>
            <c:strRef>
              <c:f>'Success Rates (2)'!$L$5:$L$12</c:f>
              <c:strCache>
                <c:ptCount val="8"/>
                <c:pt idx="0">
                  <c:v>07/08</c:v>
                </c:pt>
                <c:pt idx="1">
                  <c:v>08/09</c:v>
                </c:pt>
                <c:pt idx="2">
                  <c:v>09/10</c:v>
                </c:pt>
                <c:pt idx="3">
                  <c:v>10/11</c:v>
                </c:pt>
                <c:pt idx="4">
                  <c:v>11/12</c:v>
                </c:pt>
                <c:pt idx="5">
                  <c:v>12/13</c:v>
                </c:pt>
                <c:pt idx="6">
                  <c:v>13/14</c:v>
                </c:pt>
                <c:pt idx="7">
                  <c:v>14/15</c:v>
                </c:pt>
              </c:strCache>
            </c:strRef>
          </c:cat>
          <c:val>
            <c:numRef>
              <c:f>'Success Rates (2)'!$O$5:$O$12</c:f>
              <c:numCache>
                <c:formatCode>0%</c:formatCode>
                <c:ptCount val="8"/>
                <c:pt idx="0">
                  <c:v>0.1</c:v>
                </c:pt>
                <c:pt idx="1">
                  <c:v>3.2258064516129031E-2</c:v>
                </c:pt>
                <c:pt idx="2">
                  <c:v>1.3698630136986301E-2</c:v>
                </c:pt>
                <c:pt idx="3">
                  <c:v>1.8867924528301886E-2</c:v>
                </c:pt>
                <c:pt idx="4">
                  <c:v>6.6666666666666666E-2</c:v>
                </c:pt>
                <c:pt idx="5">
                  <c:v>6.0606060606060608E-2</c:v>
                </c:pt>
                <c:pt idx="6">
                  <c:v>9.7560975609756101E-2</c:v>
                </c:pt>
                <c:pt idx="7">
                  <c:v>3.8461538461538464E-2</c:v>
                </c:pt>
              </c:numCache>
            </c:numRef>
          </c:val>
        </c:ser>
        <c:dLbls>
          <c:showLegendKey val="0"/>
          <c:showVal val="0"/>
          <c:showCatName val="0"/>
          <c:showSerName val="0"/>
          <c:showPercent val="0"/>
          <c:showBubbleSize val="0"/>
        </c:dLbls>
        <c:gapWidth val="150"/>
        <c:axId val="216979824"/>
        <c:axId val="245723000"/>
      </c:barChart>
      <c:catAx>
        <c:axId val="216979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45723000"/>
        <c:crosses val="autoZero"/>
        <c:auto val="1"/>
        <c:lblAlgn val="ctr"/>
        <c:lblOffset val="100"/>
        <c:noMultiLvlLbl val="0"/>
      </c:catAx>
      <c:valAx>
        <c:axId val="24572300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6979824"/>
        <c:crosses val="autoZero"/>
        <c:crossBetween val="between"/>
        <c:majorUnit val="0.2"/>
      </c:valAx>
      <c:spPr>
        <a:noFill/>
        <a:ln>
          <a:noFill/>
        </a:ln>
        <a:effectLst/>
      </c:spPr>
    </c:plotArea>
    <c:legend>
      <c:legendPos val="r"/>
      <c:layout>
        <c:manualLayout>
          <c:xMode val="edge"/>
          <c:yMode val="edge"/>
          <c:x val="0.625115048118985"/>
          <c:y val="0.12672428588100421"/>
          <c:w val="0.11377384076990377"/>
          <c:h val="0.22035214348206475"/>
        </c:manualLayout>
      </c:layout>
      <c:overlay val="1"/>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19050" cap="flat" cmpd="sng" algn="ctr">
      <a:solidFill>
        <a:schemeClr val="bg1">
          <a:lumMod val="50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latin typeface="Times New Roman" panose="02020603050405020304" pitchFamily="18" charset="0"/>
                <a:cs typeface="Times New Roman" panose="02020603050405020304" pitchFamily="18" charset="0"/>
              </a:rPr>
              <a:t>Intro Physics</a:t>
            </a:r>
            <a:r>
              <a:rPr lang="en-US" sz="1200" b="1" baseline="0">
                <a:solidFill>
                  <a:schemeClr val="tx1"/>
                </a:solidFill>
                <a:latin typeface="Times New Roman" panose="02020603050405020304" pitchFamily="18" charset="0"/>
                <a:cs typeface="Times New Roman" panose="02020603050405020304" pitchFamily="18" charset="0"/>
              </a:rPr>
              <a:t> Success Rates</a:t>
            </a:r>
            <a:endParaRPr lang="en-US" sz="1200" b="1">
              <a:solidFill>
                <a:schemeClr val="tx1"/>
              </a:solidFill>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plotArea>
      <c:layout/>
      <c:barChart>
        <c:barDir val="col"/>
        <c:grouping val="clustered"/>
        <c:varyColors val="0"/>
        <c:ser>
          <c:idx val="0"/>
          <c:order val="0"/>
          <c:tx>
            <c:strRef>
              <c:f>'[Physical Science Program Review new.xlsx]Success Rates (2)'!$M$38</c:f>
              <c:strCache>
                <c:ptCount val="1"/>
                <c:pt idx="0">
                  <c:v>ABC</c:v>
                </c:pt>
              </c:strCache>
            </c:strRef>
          </c:tx>
          <c:spPr>
            <a:solidFill>
              <a:schemeClr val="accent1"/>
            </a:solidFill>
            <a:ln>
              <a:noFill/>
            </a:ln>
            <a:effectLst/>
          </c:spPr>
          <c:invertIfNegative val="0"/>
          <c:cat>
            <c:strRef>
              <c:f>'[Physical Science Program Review new.xlsx]Success Rates (2)'!$L$39:$L$43</c:f>
              <c:strCache>
                <c:ptCount val="5"/>
                <c:pt idx="0">
                  <c:v>10/11</c:v>
                </c:pt>
                <c:pt idx="1">
                  <c:v>11/12</c:v>
                </c:pt>
                <c:pt idx="2">
                  <c:v>12/13</c:v>
                </c:pt>
                <c:pt idx="3">
                  <c:v>13/14</c:v>
                </c:pt>
                <c:pt idx="4">
                  <c:v>14/15</c:v>
                </c:pt>
              </c:strCache>
            </c:strRef>
          </c:cat>
          <c:val>
            <c:numRef>
              <c:f>'[Physical Science Program Review new.xlsx]Success Rates (2)'!$M$39:$M$43</c:f>
              <c:numCache>
                <c:formatCode>0%</c:formatCode>
                <c:ptCount val="5"/>
                <c:pt idx="0">
                  <c:v>0.70588235294117652</c:v>
                </c:pt>
                <c:pt idx="1">
                  <c:v>0.8</c:v>
                </c:pt>
                <c:pt idx="2">
                  <c:v>0.625</c:v>
                </c:pt>
                <c:pt idx="3">
                  <c:v>0.58333333333333337</c:v>
                </c:pt>
                <c:pt idx="4">
                  <c:v>0.69230769230769229</c:v>
                </c:pt>
              </c:numCache>
            </c:numRef>
          </c:val>
        </c:ser>
        <c:ser>
          <c:idx val="1"/>
          <c:order val="1"/>
          <c:tx>
            <c:strRef>
              <c:f>'[Physical Science Program Review new.xlsx]Success Rates (2)'!$N$38</c:f>
              <c:strCache>
                <c:ptCount val="1"/>
                <c:pt idx="0">
                  <c:v>DF</c:v>
                </c:pt>
              </c:strCache>
            </c:strRef>
          </c:tx>
          <c:spPr>
            <a:solidFill>
              <a:schemeClr val="accent2"/>
            </a:solidFill>
            <a:ln>
              <a:noFill/>
            </a:ln>
            <a:effectLst/>
          </c:spPr>
          <c:invertIfNegative val="0"/>
          <c:cat>
            <c:strRef>
              <c:f>'[Physical Science Program Review new.xlsx]Success Rates (2)'!$L$39:$L$43</c:f>
              <c:strCache>
                <c:ptCount val="5"/>
                <c:pt idx="0">
                  <c:v>10/11</c:v>
                </c:pt>
                <c:pt idx="1">
                  <c:v>11/12</c:v>
                </c:pt>
                <c:pt idx="2">
                  <c:v>12/13</c:v>
                </c:pt>
                <c:pt idx="3">
                  <c:v>13/14</c:v>
                </c:pt>
                <c:pt idx="4">
                  <c:v>14/15</c:v>
                </c:pt>
              </c:strCache>
            </c:strRef>
          </c:cat>
          <c:val>
            <c:numRef>
              <c:f>'[Physical Science Program Review new.xlsx]Success Rates (2)'!$N$39:$N$43</c:f>
              <c:numCache>
                <c:formatCode>0%</c:formatCode>
                <c:ptCount val="5"/>
                <c:pt idx="0">
                  <c:v>0.17647058823529413</c:v>
                </c:pt>
                <c:pt idx="1">
                  <c:v>0.1</c:v>
                </c:pt>
                <c:pt idx="2">
                  <c:v>0.125</c:v>
                </c:pt>
                <c:pt idx="3">
                  <c:v>0.41666666666666669</c:v>
                </c:pt>
                <c:pt idx="4">
                  <c:v>7.6923076923076927E-2</c:v>
                </c:pt>
              </c:numCache>
            </c:numRef>
          </c:val>
        </c:ser>
        <c:ser>
          <c:idx val="2"/>
          <c:order val="2"/>
          <c:tx>
            <c:strRef>
              <c:f>'[Physical Science Program Review new.xlsx]Success Rates (2)'!$O$38</c:f>
              <c:strCache>
                <c:ptCount val="1"/>
                <c:pt idx="0">
                  <c:v>W/WX</c:v>
                </c:pt>
              </c:strCache>
            </c:strRef>
          </c:tx>
          <c:spPr>
            <a:solidFill>
              <a:schemeClr val="accent3"/>
            </a:solidFill>
            <a:ln>
              <a:noFill/>
            </a:ln>
            <a:effectLst/>
          </c:spPr>
          <c:invertIfNegative val="0"/>
          <c:cat>
            <c:strRef>
              <c:f>'[Physical Science Program Review new.xlsx]Success Rates (2)'!$L$39:$L$43</c:f>
              <c:strCache>
                <c:ptCount val="5"/>
                <c:pt idx="0">
                  <c:v>10/11</c:v>
                </c:pt>
                <c:pt idx="1">
                  <c:v>11/12</c:v>
                </c:pt>
                <c:pt idx="2">
                  <c:v>12/13</c:v>
                </c:pt>
                <c:pt idx="3">
                  <c:v>13/14</c:v>
                </c:pt>
                <c:pt idx="4">
                  <c:v>14/15</c:v>
                </c:pt>
              </c:strCache>
            </c:strRef>
          </c:cat>
          <c:val>
            <c:numRef>
              <c:f>'[Physical Science Program Review new.xlsx]Success Rates (2)'!$O$39:$O$43</c:f>
              <c:numCache>
                <c:formatCode>0%</c:formatCode>
                <c:ptCount val="5"/>
                <c:pt idx="0">
                  <c:v>0.11764705882352941</c:v>
                </c:pt>
                <c:pt idx="1">
                  <c:v>0.1</c:v>
                </c:pt>
                <c:pt idx="2">
                  <c:v>0.25</c:v>
                </c:pt>
                <c:pt idx="3">
                  <c:v>0</c:v>
                </c:pt>
                <c:pt idx="4">
                  <c:v>0.23076923076923078</c:v>
                </c:pt>
              </c:numCache>
            </c:numRef>
          </c:val>
        </c:ser>
        <c:dLbls>
          <c:showLegendKey val="0"/>
          <c:showVal val="0"/>
          <c:showCatName val="0"/>
          <c:showSerName val="0"/>
          <c:showPercent val="0"/>
          <c:showBubbleSize val="0"/>
        </c:dLbls>
        <c:gapWidth val="150"/>
        <c:axId val="246259808"/>
        <c:axId val="246260192"/>
      </c:barChart>
      <c:catAx>
        <c:axId val="24625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46260192"/>
        <c:crosses val="autoZero"/>
        <c:auto val="1"/>
        <c:lblAlgn val="ctr"/>
        <c:lblOffset val="100"/>
        <c:noMultiLvlLbl val="0"/>
      </c:catAx>
      <c:valAx>
        <c:axId val="24626019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46259808"/>
        <c:crosses val="autoZero"/>
        <c:crossBetween val="between"/>
        <c:majorUnit val="0.2"/>
      </c:valAx>
      <c:spPr>
        <a:noFill/>
        <a:ln>
          <a:noFill/>
        </a:ln>
        <a:effectLst/>
      </c:spPr>
    </c:plotArea>
    <c:legend>
      <c:legendPos val="r"/>
      <c:layout>
        <c:manualLayout>
          <c:xMode val="edge"/>
          <c:yMode val="edge"/>
          <c:x val="0.8667817147856518"/>
          <c:y val="0.15183692947472474"/>
          <c:w val="0.11377384076990377"/>
          <c:h val="0.22035214348206475"/>
        </c:manualLayout>
      </c:layout>
      <c:overlay val="1"/>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19050" cap="flat" cmpd="sng" algn="ctr">
      <a:solidFill>
        <a:schemeClr val="bg1">
          <a:lumMod val="50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Ann Marie Boehmer</cp:lastModifiedBy>
  <cp:revision>4</cp:revision>
  <dcterms:created xsi:type="dcterms:W3CDTF">2015-06-08T20:42:00Z</dcterms:created>
  <dcterms:modified xsi:type="dcterms:W3CDTF">2015-06-08T20:53:00Z</dcterms:modified>
</cp:coreProperties>
</file>