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703" w:rsidRDefault="00A84A11">
      <w:r>
        <w:t xml:space="preserve">Survey </w:t>
      </w:r>
      <w:r w:rsidR="00E33B4D">
        <w:t>of Physical</w:t>
      </w:r>
      <w:r>
        <w:t xml:space="preserve"> Science </w:t>
      </w:r>
      <w:r w:rsidR="008A00E2">
        <w:t>PH1113</w:t>
      </w:r>
      <w:r w:rsidR="00293C52">
        <w:t xml:space="preserve"> Lecture and PH 1122 Lab</w:t>
      </w:r>
      <w:r w:rsidR="001517B6">
        <w:t xml:space="preserve"> Assessment Report</w:t>
      </w:r>
      <w:r w:rsidR="003F6D40">
        <w:t xml:space="preserve"> 2007-</w:t>
      </w:r>
      <w:r w:rsidR="00603366">
        <w:t>2009</w:t>
      </w:r>
    </w:p>
    <w:p w:rsidR="00896C50" w:rsidRDefault="003151E4">
      <w:r>
        <w:t>S</w:t>
      </w:r>
      <w:r w:rsidR="001517B6">
        <w:t>ubmitted by Charles Tomlinson</w:t>
      </w:r>
    </w:p>
    <w:p w:rsidR="00E11938" w:rsidRDefault="00E11938"/>
    <w:p w:rsidR="00293C52" w:rsidRDefault="00293C52">
      <w:pPr>
        <w:rPr>
          <w:b/>
          <w:u w:val="single"/>
        </w:rPr>
      </w:pPr>
      <w:r>
        <w:rPr>
          <w:b/>
          <w:u w:val="single"/>
        </w:rPr>
        <w:t>Introduction</w:t>
      </w:r>
    </w:p>
    <w:p w:rsidR="00293C52" w:rsidRDefault="00293C52"/>
    <w:p w:rsidR="00293C52" w:rsidRDefault="00293C52">
      <w:r>
        <w:t>Survey of Physical Science</w:t>
      </w:r>
      <w:r w:rsidR="00294F16">
        <w:t>, PH1113, is a 3-credit hour course designed for the non-science major covering the scientific method of discovery and its application to the fields of geology, astronomy, chemistry, meteorology, the environment and physics.  It is often, but not required, accompanied by a lab</w:t>
      </w:r>
      <w:r w:rsidR="003151E4">
        <w:t>oratory course, PH1122, structured to illustrate and reinforce lecture topics.</w:t>
      </w:r>
      <w:r w:rsidR="00325C27">
        <w:t xml:space="preserve">  </w:t>
      </w:r>
      <w:r w:rsidR="003151E4">
        <w:t xml:space="preserve">  </w:t>
      </w:r>
      <w:r w:rsidR="00961DA0">
        <w:t xml:space="preserve">  </w:t>
      </w:r>
    </w:p>
    <w:p w:rsidR="00293C52" w:rsidRDefault="00293C52"/>
    <w:p w:rsidR="00293C52" w:rsidRPr="00961DA0" w:rsidRDefault="00293C52">
      <w:r>
        <w:t xml:space="preserve">The course </w:t>
      </w:r>
      <w:r w:rsidR="003151E4">
        <w:t xml:space="preserve">competencies and objectives are stated in the departmental </w:t>
      </w:r>
      <w:r>
        <w:t xml:space="preserve">syllabus and </w:t>
      </w:r>
      <w:r w:rsidR="003151E4">
        <w:t xml:space="preserve">are assessed through </w:t>
      </w:r>
      <w:r>
        <w:t>departmental examinations.</w:t>
      </w:r>
      <w:r w:rsidR="00961DA0">
        <w:t xml:space="preserve">  </w:t>
      </w:r>
      <w:r w:rsidR="003151E4">
        <w:t>Additionally, t</w:t>
      </w:r>
      <w:r w:rsidR="00961DA0">
        <w:t xml:space="preserve">wo </w:t>
      </w:r>
      <w:r w:rsidR="003151E4">
        <w:t xml:space="preserve">independent </w:t>
      </w:r>
      <w:r w:rsidR="00961DA0">
        <w:t>tests</w:t>
      </w:r>
      <w:r w:rsidR="003151E4">
        <w:t>,</w:t>
      </w:r>
      <w:r w:rsidR="00961DA0">
        <w:t xml:space="preserve"> </w:t>
      </w:r>
      <w:r w:rsidR="00961DA0" w:rsidRPr="00961DA0">
        <w:rPr>
          <w:i/>
        </w:rPr>
        <w:t>Beyond the Solar System</w:t>
      </w:r>
      <w:r w:rsidR="00961DA0">
        <w:t xml:space="preserve"> </w:t>
      </w:r>
      <w:r w:rsidR="00C444E7">
        <w:t>(BSS)</w:t>
      </w:r>
      <w:r w:rsidR="003151E4">
        <w:t xml:space="preserve"> </w:t>
      </w:r>
      <w:r w:rsidR="00961DA0">
        <w:t>prepared by the Smithsonian Institution</w:t>
      </w:r>
      <w:r w:rsidR="003151E4">
        <w:t xml:space="preserve"> and t</w:t>
      </w:r>
      <w:r w:rsidR="00961DA0">
        <w:t xml:space="preserve">he </w:t>
      </w:r>
      <w:r w:rsidR="00961DA0" w:rsidRPr="00961DA0">
        <w:rPr>
          <w:i/>
        </w:rPr>
        <w:t>Thermal Concept Evaluation</w:t>
      </w:r>
      <w:r w:rsidR="00961DA0">
        <w:t xml:space="preserve"> </w:t>
      </w:r>
      <w:r w:rsidR="003151E4">
        <w:t>featured</w:t>
      </w:r>
      <w:r w:rsidR="00961DA0">
        <w:t xml:space="preserve"> in the profession</w:t>
      </w:r>
      <w:r w:rsidR="000D21F1">
        <w:t>al</w:t>
      </w:r>
      <w:r w:rsidR="00961DA0">
        <w:t xml:space="preserve"> journal, The Physics Teacher</w:t>
      </w:r>
      <w:r w:rsidR="003151E4">
        <w:t>, are used in assessing student competency.</w:t>
      </w:r>
    </w:p>
    <w:p w:rsidR="00293C52" w:rsidRDefault="00293C52">
      <w:pPr>
        <w:rPr>
          <w:b/>
          <w:u w:val="single"/>
        </w:rPr>
      </w:pPr>
    </w:p>
    <w:p w:rsidR="00E11938" w:rsidRDefault="00E11938">
      <w:pPr>
        <w:rPr>
          <w:b/>
          <w:u w:val="single"/>
        </w:rPr>
      </w:pPr>
      <w:r w:rsidRPr="00E11938">
        <w:rPr>
          <w:b/>
          <w:u w:val="single"/>
        </w:rPr>
        <w:t>Survey of Physical Science</w:t>
      </w:r>
      <w:r w:rsidR="0099288B">
        <w:rPr>
          <w:b/>
          <w:u w:val="single"/>
        </w:rPr>
        <w:t xml:space="preserve"> Results</w:t>
      </w:r>
    </w:p>
    <w:p w:rsidR="00E11938" w:rsidRDefault="00E11938">
      <w:pPr>
        <w:rPr>
          <w:b/>
          <w:u w:val="single"/>
        </w:rPr>
      </w:pPr>
    </w:p>
    <w:p w:rsidR="0099288B" w:rsidRDefault="00180478">
      <w:r>
        <w:t>Spring 2007</w:t>
      </w:r>
      <w:r w:rsidR="0099288B">
        <w:t>:</w:t>
      </w:r>
    </w:p>
    <w:p w:rsidR="0099288B" w:rsidRPr="0099288B" w:rsidRDefault="0099288B" w:rsidP="0099288B">
      <w:pPr>
        <w:pStyle w:val="ListParagraph"/>
        <w:numPr>
          <w:ilvl w:val="0"/>
          <w:numId w:val="8"/>
        </w:numPr>
        <w:rPr>
          <w:rFonts w:ascii="Times New Roman" w:hAnsi="Times New Roman" w:cs="Times New Roman"/>
          <w:sz w:val="24"/>
          <w:szCs w:val="24"/>
        </w:rPr>
      </w:pPr>
      <w:r w:rsidRPr="0099288B">
        <w:rPr>
          <w:rFonts w:ascii="Times New Roman" w:hAnsi="Times New Roman" w:cs="Times New Roman"/>
          <w:sz w:val="24"/>
          <w:szCs w:val="24"/>
        </w:rPr>
        <w:t>Midterm</w:t>
      </w:r>
      <w:r w:rsidR="00180478" w:rsidRPr="0099288B">
        <w:rPr>
          <w:rFonts w:ascii="Times New Roman" w:hAnsi="Times New Roman" w:cs="Times New Roman"/>
          <w:sz w:val="24"/>
          <w:szCs w:val="24"/>
        </w:rPr>
        <w:t xml:space="preserve"> exams were </w:t>
      </w:r>
      <w:r w:rsidRPr="0099288B">
        <w:rPr>
          <w:rFonts w:ascii="Times New Roman" w:hAnsi="Times New Roman" w:cs="Times New Roman"/>
          <w:sz w:val="24"/>
          <w:szCs w:val="24"/>
        </w:rPr>
        <w:t>administered</w:t>
      </w:r>
      <w:r w:rsidR="00180478" w:rsidRPr="0099288B">
        <w:rPr>
          <w:rFonts w:ascii="Times New Roman" w:hAnsi="Times New Roman" w:cs="Times New Roman"/>
          <w:sz w:val="24"/>
          <w:szCs w:val="24"/>
        </w:rPr>
        <w:t xml:space="preserve"> to 22 students with a group average of 93%</w:t>
      </w:r>
      <w:r w:rsidRPr="0099288B">
        <w:rPr>
          <w:rFonts w:ascii="Times New Roman" w:hAnsi="Times New Roman" w:cs="Times New Roman"/>
          <w:sz w:val="24"/>
          <w:szCs w:val="24"/>
        </w:rPr>
        <w:t xml:space="preserve">, ranging </w:t>
      </w:r>
      <w:r w:rsidR="00180478" w:rsidRPr="0099288B">
        <w:rPr>
          <w:rFonts w:ascii="Times New Roman" w:hAnsi="Times New Roman" w:cs="Times New Roman"/>
          <w:sz w:val="24"/>
          <w:szCs w:val="24"/>
        </w:rPr>
        <w:t xml:space="preserve">from 49% to 98%.  </w:t>
      </w:r>
    </w:p>
    <w:p w:rsidR="0099288B" w:rsidRPr="0099288B" w:rsidRDefault="0099288B" w:rsidP="0099288B">
      <w:pPr>
        <w:pStyle w:val="ListParagraph"/>
        <w:numPr>
          <w:ilvl w:val="0"/>
          <w:numId w:val="8"/>
        </w:numPr>
        <w:rPr>
          <w:rFonts w:ascii="Times New Roman" w:hAnsi="Times New Roman" w:cs="Times New Roman"/>
          <w:sz w:val="24"/>
          <w:szCs w:val="24"/>
        </w:rPr>
      </w:pPr>
      <w:r w:rsidRPr="0099288B">
        <w:rPr>
          <w:rFonts w:ascii="Times New Roman" w:hAnsi="Times New Roman" w:cs="Times New Roman"/>
          <w:sz w:val="24"/>
          <w:szCs w:val="24"/>
        </w:rPr>
        <w:t>Final</w:t>
      </w:r>
      <w:r w:rsidR="00180478" w:rsidRPr="0099288B">
        <w:rPr>
          <w:rFonts w:ascii="Times New Roman" w:hAnsi="Times New Roman" w:cs="Times New Roman"/>
          <w:sz w:val="24"/>
          <w:szCs w:val="24"/>
        </w:rPr>
        <w:t xml:space="preserve"> exam was administered to 22 students resulting in an average of 66.5% and scores ranging from </w:t>
      </w:r>
      <w:r w:rsidR="00B2178C" w:rsidRPr="0099288B">
        <w:rPr>
          <w:rFonts w:ascii="Times New Roman" w:hAnsi="Times New Roman" w:cs="Times New Roman"/>
          <w:sz w:val="24"/>
          <w:szCs w:val="24"/>
        </w:rPr>
        <w:t xml:space="preserve">31% to 85%.  </w:t>
      </w:r>
    </w:p>
    <w:p w:rsidR="00C444E7" w:rsidRDefault="00B2178C" w:rsidP="005A5E90">
      <w:pPr>
        <w:pStyle w:val="ListParagraph"/>
        <w:numPr>
          <w:ilvl w:val="0"/>
          <w:numId w:val="8"/>
        </w:numPr>
      </w:pPr>
      <w:r w:rsidRPr="0099288B">
        <w:rPr>
          <w:rFonts w:ascii="Times New Roman" w:hAnsi="Times New Roman" w:cs="Times New Roman"/>
          <w:sz w:val="24"/>
          <w:szCs w:val="24"/>
        </w:rPr>
        <w:t xml:space="preserve">Two independent assessment exams were also administered; </w:t>
      </w:r>
      <w:r w:rsidRPr="0099288B">
        <w:rPr>
          <w:rFonts w:ascii="Times New Roman" w:hAnsi="Times New Roman" w:cs="Times New Roman"/>
          <w:b/>
          <w:sz w:val="24"/>
          <w:szCs w:val="24"/>
        </w:rPr>
        <w:t>Beyond the Solar System</w:t>
      </w:r>
      <w:r w:rsidRPr="0099288B">
        <w:rPr>
          <w:rFonts w:ascii="Times New Roman" w:hAnsi="Times New Roman" w:cs="Times New Roman"/>
          <w:sz w:val="24"/>
          <w:szCs w:val="24"/>
        </w:rPr>
        <w:t xml:space="preserve"> © Smithsonian Institution, given after the astronomy unit, and an abbreviated version of the assessment test </w:t>
      </w:r>
      <w:r w:rsidRPr="0099288B">
        <w:rPr>
          <w:rFonts w:ascii="Times New Roman" w:hAnsi="Times New Roman" w:cs="Times New Roman"/>
          <w:b/>
          <w:sz w:val="24"/>
          <w:szCs w:val="24"/>
        </w:rPr>
        <w:t>Introductory Thermal Concept Evaluation</w:t>
      </w:r>
      <w:r w:rsidRPr="0099288B">
        <w:rPr>
          <w:rFonts w:ascii="Times New Roman" w:hAnsi="Times New Roman" w:cs="Times New Roman"/>
          <w:sz w:val="24"/>
          <w:szCs w:val="24"/>
        </w:rPr>
        <w:t xml:space="preserve"> (</w:t>
      </w:r>
      <w:r w:rsidRPr="0099288B">
        <w:rPr>
          <w:rFonts w:ascii="Times New Roman" w:hAnsi="Times New Roman" w:cs="Times New Roman"/>
          <w:i/>
          <w:sz w:val="24"/>
          <w:szCs w:val="24"/>
        </w:rPr>
        <w:t>The Physics Teacher, November 2001)</w:t>
      </w:r>
      <w:r w:rsidRPr="0099288B">
        <w:rPr>
          <w:rFonts w:ascii="Times New Roman" w:hAnsi="Times New Roman" w:cs="Times New Roman"/>
          <w:sz w:val="24"/>
          <w:szCs w:val="24"/>
        </w:rPr>
        <w:t>.</w:t>
      </w:r>
      <w:r w:rsidR="008C65FB" w:rsidRPr="0099288B">
        <w:rPr>
          <w:rFonts w:ascii="Times New Roman" w:hAnsi="Times New Roman" w:cs="Times New Roman"/>
          <w:sz w:val="24"/>
          <w:szCs w:val="24"/>
        </w:rPr>
        <w:t xml:space="preserve">  The results are as follows:</w:t>
      </w:r>
      <w:r>
        <w:t xml:space="preserve">  </w:t>
      </w:r>
    </w:p>
    <w:p w:rsidR="008A00E2" w:rsidRDefault="00892234">
      <w:r w:rsidRPr="00892234">
        <w:rPr>
          <w:noProof/>
        </w:rPr>
        <w:drawing>
          <wp:inline distT="0" distB="0" distL="0" distR="0">
            <wp:extent cx="4572000" cy="2743200"/>
            <wp:effectExtent l="19050" t="0" r="19050"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92234" w:rsidRDefault="00892234"/>
    <w:p w:rsidR="007215F8" w:rsidRDefault="007215F8"/>
    <w:p w:rsidR="007215F8" w:rsidRDefault="007215F8"/>
    <w:p w:rsidR="008C65FB" w:rsidRDefault="007215F8" w:rsidP="008C65FB">
      <w:r w:rsidRPr="007215F8">
        <w:rPr>
          <w:noProof/>
        </w:rPr>
        <w:drawing>
          <wp:inline distT="0" distB="0" distL="0" distR="0">
            <wp:extent cx="4572000" cy="2743200"/>
            <wp:effectExtent l="19050" t="0" r="19050" b="0"/>
            <wp:docPr id="1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C65FB" w:rsidRDefault="008C65FB" w:rsidP="008C65FB"/>
    <w:p w:rsidR="0099288B" w:rsidRDefault="008C65FB" w:rsidP="008C65FB">
      <w:r>
        <w:t>Fall 2007</w:t>
      </w:r>
      <w:r w:rsidR="0099288B">
        <w:t>:</w:t>
      </w:r>
    </w:p>
    <w:p w:rsidR="0099288B" w:rsidRPr="0099288B" w:rsidRDefault="0099288B" w:rsidP="0099288B">
      <w:pPr>
        <w:pStyle w:val="ListParagraph"/>
        <w:numPr>
          <w:ilvl w:val="0"/>
          <w:numId w:val="9"/>
        </w:numPr>
        <w:rPr>
          <w:rFonts w:ascii="Times New Roman" w:hAnsi="Times New Roman" w:cs="Times New Roman"/>
          <w:b/>
          <w:i/>
          <w:color w:val="FF0000"/>
          <w:sz w:val="24"/>
          <w:szCs w:val="24"/>
        </w:rPr>
      </w:pPr>
      <w:r w:rsidRPr="0099288B">
        <w:rPr>
          <w:rFonts w:ascii="Times New Roman" w:hAnsi="Times New Roman" w:cs="Times New Roman"/>
          <w:sz w:val="24"/>
          <w:szCs w:val="24"/>
        </w:rPr>
        <w:t>Midterms</w:t>
      </w:r>
      <w:r w:rsidR="008C65FB" w:rsidRPr="0099288B">
        <w:rPr>
          <w:rFonts w:ascii="Times New Roman" w:hAnsi="Times New Roman" w:cs="Times New Roman"/>
          <w:sz w:val="24"/>
          <w:szCs w:val="24"/>
        </w:rPr>
        <w:t xml:space="preserve"> and finals were administered to 1</w:t>
      </w:r>
      <w:r w:rsidRPr="0099288B">
        <w:rPr>
          <w:rFonts w:ascii="Times New Roman" w:hAnsi="Times New Roman" w:cs="Times New Roman"/>
          <w:sz w:val="24"/>
          <w:szCs w:val="24"/>
        </w:rPr>
        <w:t>6</w:t>
      </w:r>
      <w:r w:rsidR="008C65FB" w:rsidRPr="0099288B">
        <w:rPr>
          <w:rFonts w:ascii="Times New Roman" w:hAnsi="Times New Roman" w:cs="Times New Roman"/>
          <w:sz w:val="24"/>
          <w:szCs w:val="24"/>
        </w:rPr>
        <w:t xml:space="preserve"> students</w:t>
      </w:r>
      <w:r w:rsidR="005B39E9" w:rsidRPr="0099288B">
        <w:rPr>
          <w:rFonts w:ascii="Times New Roman" w:hAnsi="Times New Roman" w:cs="Times New Roman"/>
          <w:sz w:val="24"/>
          <w:szCs w:val="24"/>
        </w:rPr>
        <w:t xml:space="preserve">.  </w:t>
      </w:r>
    </w:p>
    <w:p w:rsidR="0099288B" w:rsidRPr="0099288B" w:rsidRDefault="005B39E9" w:rsidP="0099288B">
      <w:pPr>
        <w:pStyle w:val="ListParagraph"/>
        <w:numPr>
          <w:ilvl w:val="0"/>
          <w:numId w:val="9"/>
        </w:numPr>
        <w:rPr>
          <w:rFonts w:ascii="Times New Roman" w:hAnsi="Times New Roman" w:cs="Times New Roman"/>
          <w:b/>
          <w:i/>
          <w:color w:val="FF0000"/>
          <w:sz w:val="24"/>
          <w:szCs w:val="24"/>
        </w:rPr>
      </w:pPr>
      <w:r w:rsidRPr="0099288B">
        <w:rPr>
          <w:rFonts w:ascii="Times New Roman" w:hAnsi="Times New Roman" w:cs="Times New Roman"/>
          <w:sz w:val="24"/>
          <w:szCs w:val="24"/>
        </w:rPr>
        <w:t>Midterm exams had an average of 8</w:t>
      </w:r>
      <w:r w:rsidR="0099288B" w:rsidRPr="0099288B">
        <w:rPr>
          <w:rFonts w:ascii="Times New Roman" w:hAnsi="Times New Roman" w:cs="Times New Roman"/>
          <w:sz w:val="24"/>
          <w:szCs w:val="24"/>
        </w:rPr>
        <w:t>4</w:t>
      </w:r>
      <w:r w:rsidRPr="0099288B">
        <w:rPr>
          <w:rFonts w:ascii="Times New Roman" w:hAnsi="Times New Roman" w:cs="Times New Roman"/>
          <w:sz w:val="24"/>
          <w:szCs w:val="24"/>
        </w:rPr>
        <w:t>% with a range from 6</w:t>
      </w:r>
      <w:r w:rsidR="0099288B" w:rsidRPr="0099288B">
        <w:rPr>
          <w:rFonts w:ascii="Times New Roman" w:hAnsi="Times New Roman" w:cs="Times New Roman"/>
          <w:sz w:val="24"/>
          <w:szCs w:val="24"/>
        </w:rPr>
        <w:t>5</w:t>
      </w:r>
      <w:r w:rsidRPr="0099288B">
        <w:rPr>
          <w:rFonts w:ascii="Times New Roman" w:hAnsi="Times New Roman" w:cs="Times New Roman"/>
          <w:sz w:val="24"/>
          <w:szCs w:val="24"/>
        </w:rPr>
        <w:t>% to 9</w:t>
      </w:r>
      <w:r w:rsidR="0099288B" w:rsidRPr="0099288B">
        <w:rPr>
          <w:rFonts w:ascii="Times New Roman" w:hAnsi="Times New Roman" w:cs="Times New Roman"/>
          <w:sz w:val="24"/>
          <w:szCs w:val="24"/>
        </w:rPr>
        <w:t>7</w:t>
      </w:r>
      <w:r w:rsidRPr="0099288B">
        <w:rPr>
          <w:rFonts w:ascii="Times New Roman" w:hAnsi="Times New Roman" w:cs="Times New Roman"/>
          <w:sz w:val="24"/>
          <w:szCs w:val="24"/>
        </w:rPr>
        <w:t xml:space="preserve">%.  </w:t>
      </w:r>
    </w:p>
    <w:p w:rsidR="0099288B" w:rsidRPr="0099288B" w:rsidRDefault="005B39E9" w:rsidP="0099288B">
      <w:pPr>
        <w:pStyle w:val="ListParagraph"/>
        <w:numPr>
          <w:ilvl w:val="0"/>
          <w:numId w:val="9"/>
        </w:numPr>
        <w:rPr>
          <w:rFonts w:ascii="Times New Roman" w:hAnsi="Times New Roman" w:cs="Times New Roman"/>
          <w:b/>
          <w:i/>
          <w:color w:val="FF0000"/>
          <w:sz w:val="24"/>
          <w:szCs w:val="24"/>
        </w:rPr>
      </w:pPr>
      <w:r w:rsidRPr="0099288B">
        <w:rPr>
          <w:rFonts w:ascii="Times New Roman" w:hAnsi="Times New Roman" w:cs="Times New Roman"/>
          <w:sz w:val="24"/>
          <w:szCs w:val="24"/>
        </w:rPr>
        <w:t xml:space="preserve">The final exam had an average of </w:t>
      </w:r>
      <w:r w:rsidR="0099288B" w:rsidRPr="0099288B">
        <w:rPr>
          <w:rFonts w:ascii="Times New Roman" w:hAnsi="Times New Roman" w:cs="Times New Roman"/>
          <w:sz w:val="24"/>
          <w:szCs w:val="24"/>
        </w:rPr>
        <w:t>66.5</w:t>
      </w:r>
      <w:r w:rsidRPr="0099288B">
        <w:rPr>
          <w:rFonts w:ascii="Times New Roman" w:hAnsi="Times New Roman" w:cs="Times New Roman"/>
          <w:sz w:val="24"/>
          <w:szCs w:val="24"/>
        </w:rPr>
        <w:t xml:space="preserve">% with a low score of </w:t>
      </w:r>
      <w:r w:rsidR="008F54AA">
        <w:rPr>
          <w:rFonts w:ascii="Times New Roman" w:hAnsi="Times New Roman" w:cs="Times New Roman"/>
          <w:sz w:val="24"/>
          <w:szCs w:val="24"/>
        </w:rPr>
        <w:t>24</w:t>
      </w:r>
      <w:r w:rsidRPr="0099288B">
        <w:rPr>
          <w:rFonts w:ascii="Times New Roman" w:hAnsi="Times New Roman" w:cs="Times New Roman"/>
          <w:sz w:val="24"/>
          <w:szCs w:val="24"/>
        </w:rPr>
        <w:t xml:space="preserve">% and a high of </w:t>
      </w:r>
      <w:r w:rsidR="008F54AA">
        <w:rPr>
          <w:rFonts w:ascii="Times New Roman" w:hAnsi="Times New Roman" w:cs="Times New Roman"/>
          <w:sz w:val="24"/>
          <w:szCs w:val="24"/>
        </w:rPr>
        <w:t>96</w:t>
      </w:r>
      <w:r w:rsidRPr="0099288B">
        <w:rPr>
          <w:rFonts w:ascii="Times New Roman" w:hAnsi="Times New Roman" w:cs="Times New Roman"/>
          <w:sz w:val="24"/>
          <w:szCs w:val="24"/>
        </w:rPr>
        <w:t>%.</w:t>
      </w:r>
    </w:p>
    <w:p w:rsidR="008C65FB" w:rsidRPr="00562978" w:rsidRDefault="005B39E9" w:rsidP="0099288B">
      <w:pPr>
        <w:pStyle w:val="ListParagraph"/>
        <w:numPr>
          <w:ilvl w:val="0"/>
          <w:numId w:val="9"/>
        </w:numPr>
        <w:rPr>
          <w:rFonts w:ascii="Times New Roman" w:hAnsi="Times New Roman" w:cs="Times New Roman"/>
          <w:b/>
          <w:i/>
          <w:color w:val="FF0000"/>
          <w:sz w:val="24"/>
          <w:szCs w:val="24"/>
        </w:rPr>
      </w:pPr>
      <w:r w:rsidRPr="0099288B">
        <w:rPr>
          <w:rFonts w:ascii="Times New Roman" w:hAnsi="Times New Roman" w:cs="Times New Roman"/>
          <w:sz w:val="24"/>
          <w:szCs w:val="24"/>
        </w:rPr>
        <w:t xml:space="preserve">One independent assessment exam, </w:t>
      </w:r>
      <w:r w:rsidR="008F54AA" w:rsidRPr="0099288B">
        <w:rPr>
          <w:rFonts w:ascii="Times New Roman" w:hAnsi="Times New Roman" w:cs="Times New Roman"/>
          <w:b/>
          <w:sz w:val="24"/>
          <w:szCs w:val="24"/>
        </w:rPr>
        <w:t>Beyond the Solar System</w:t>
      </w:r>
      <w:r w:rsidR="008F54AA">
        <w:rPr>
          <w:rFonts w:ascii="Times New Roman" w:hAnsi="Times New Roman" w:cs="Times New Roman"/>
          <w:sz w:val="24"/>
          <w:szCs w:val="24"/>
        </w:rPr>
        <w:t xml:space="preserve"> © Smithsonian Institution was </w:t>
      </w:r>
      <w:r w:rsidR="008F54AA" w:rsidRPr="0099288B">
        <w:rPr>
          <w:rFonts w:ascii="Times New Roman" w:hAnsi="Times New Roman" w:cs="Times New Roman"/>
          <w:sz w:val="24"/>
          <w:szCs w:val="24"/>
        </w:rPr>
        <w:t>given after the astronomy unit</w:t>
      </w:r>
      <w:r w:rsidR="008F54AA">
        <w:rPr>
          <w:rFonts w:ascii="Times New Roman" w:hAnsi="Times New Roman" w:cs="Times New Roman"/>
          <w:sz w:val="24"/>
          <w:szCs w:val="24"/>
        </w:rPr>
        <w:t>.  The results are as follows:</w:t>
      </w:r>
    </w:p>
    <w:p w:rsidR="00562978" w:rsidRPr="002522DE" w:rsidRDefault="00562978" w:rsidP="00562978">
      <w:pPr>
        <w:pStyle w:val="ListParagraph"/>
        <w:rPr>
          <w:rFonts w:ascii="Times New Roman" w:hAnsi="Times New Roman" w:cs="Times New Roman"/>
          <w:color w:val="FF0000"/>
          <w:sz w:val="24"/>
          <w:szCs w:val="24"/>
        </w:rPr>
      </w:pPr>
    </w:p>
    <w:p w:rsidR="005A5E90" w:rsidRPr="005A5E90" w:rsidRDefault="005A5E90" w:rsidP="005A5E90">
      <w:pPr>
        <w:rPr>
          <w:b/>
          <w:i/>
          <w:color w:val="FF0000"/>
        </w:rPr>
      </w:pPr>
    </w:p>
    <w:p w:rsidR="007215F8" w:rsidRDefault="002522DE" w:rsidP="00562978">
      <w:pPr>
        <w:pStyle w:val="ListParagraph"/>
        <w:rPr>
          <w:rFonts w:ascii="Times New Roman" w:hAnsi="Times New Roman" w:cs="Times New Roman"/>
          <w:b/>
          <w:i/>
          <w:color w:val="FF0000"/>
          <w:sz w:val="24"/>
          <w:szCs w:val="24"/>
        </w:rPr>
      </w:pPr>
      <w:r w:rsidRPr="002522DE">
        <w:rPr>
          <w:rFonts w:ascii="Times New Roman" w:hAnsi="Times New Roman" w:cs="Times New Roman"/>
          <w:b/>
          <w:i/>
          <w:noProof/>
          <w:color w:val="FF0000"/>
          <w:sz w:val="24"/>
          <w:szCs w:val="24"/>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215F8" w:rsidRDefault="007215F8" w:rsidP="00562978">
      <w:pPr>
        <w:pStyle w:val="ListParagraph"/>
        <w:rPr>
          <w:rFonts w:ascii="Times New Roman" w:hAnsi="Times New Roman" w:cs="Times New Roman"/>
          <w:b/>
          <w:i/>
          <w:color w:val="FF0000"/>
          <w:sz w:val="24"/>
          <w:szCs w:val="24"/>
        </w:rPr>
      </w:pPr>
      <w:r w:rsidRPr="007215F8">
        <w:rPr>
          <w:rFonts w:ascii="Times New Roman" w:hAnsi="Times New Roman" w:cs="Times New Roman"/>
          <w:b/>
          <w:i/>
          <w:noProof/>
          <w:color w:val="FF0000"/>
          <w:sz w:val="24"/>
          <w:szCs w:val="24"/>
        </w:rPr>
        <w:lastRenderedPageBreak/>
        <w:drawing>
          <wp:inline distT="0" distB="0" distL="0" distR="0">
            <wp:extent cx="4705350" cy="2743200"/>
            <wp:effectExtent l="19050" t="0" r="19050" b="0"/>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288B" w:rsidRDefault="0099288B" w:rsidP="0099288B">
      <w:r>
        <w:t>Fall 2008:</w:t>
      </w:r>
    </w:p>
    <w:p w:rsidR="0099288B" w:rsidRPr="009D2103" w:rsidRDefault="009D2103" w:rsidP="0099288B">
      <w:pPr>
        <w:pStyle w:val="ListParagraph"/>
        <w:numPr>
          <w:ilvl w:val="0"/>
          <w:numId w:val="10"/>
        </w:numPr>
        <w:rPr>
          <w:rFonts w:ascii="Times New Roman" w:hAnsi="Times New Roman" w:cs="Times New Roman"/>
          <w:sz w:val="24"/>
          <w:szCs w:val="24"/>
        </w:rPr>
      </w:pPr>
      <w:r w:rsidRPr="009D2103">
        <w:rPr>
          <w:rFonts w:ascii="Times New Roman" w:hAnsi="Times New Roman" w:cs="Times New Roman"/>
          <w:sz w:val="24"/>
          <w:szCs w:val="24"/>
        </w:rPr>
        <w:t>14 students were administered midterm exams and the final</w:t>
      </w:r>
    </w:p>
    <w:p w:rsidR="009D2103" w:rsidRPr="009D2103" w:rsidRDefault="009D2103" w:rsidP="0099288B">
      <w:pPr>
        <w:pStyle w:val="ListParagraph"/>
        <w:numPr>
          <w:ilvl w:val="0"/>
          <w:numId w:val="10"/>
        </w:numPr>
        <w:rPr>
          <w:rFonts w:ascii="Times New Roman" w:hAnsi="Times New Roman" w:cs="Times New Roman"/>
          <w:sz w:val="24"/>
          <w:szCs w:val="24"/>
        </w:rPr>
      </w:pPr>
      <w:r w:rsidRPr="009D2103">
        <w:rPr>
          <w:rFonts w:ascii="Times New Roman" w:hAnsi="Times New Roman" w:cs="Times New Roman"/>
          <w:sz w:val="24"/>
          <w:szCs w:val="24"/>
        </w:rPr>
        <w:t>Group average on the midterms was 86%; for the final 85%.</w:t>
      </w:r>
    </w:p>
    <w:p w:rsidR="009D2103" w:rsidRPr="009D2103" w:rsidRDefault="009D2103" w:rsidP="009D2103">
      <w:pPr>
        <w:pStyle w:val="ListParagraph"/>
        <w:numPr>
          <w:ilvl w:val="0"/>
          <w:numId w:val="10"/>
        </w:numPr>
      </w:pPr>
      <w:r w:rsidRPr="009D2103">
        <w:rPr>
          <w:rFonts w:ascii="Times New Roman" w:hAnsi="Times New Roman" w:cs="Times New Roman"/>
          <w:sz w:val="24"/>
          <w:szCs w:val="24"/>
        </w:rPr>
        <w:t>High score on midterms was 96% and low was 66%; for final the high was 100% and low 41%</w:t>
      </w:r>
    </w:p>
    <w:p w:rsidR="009D2103" w:rsidRPr="005A5E90" w:rsidRDefault="009D2103" w:rsidP="009D2103">
      <w:pPr>
        <w:pStyle w:val="ListParagraph"/>
        <w:numPr>
          <w:ilvl w:val="0"/>
          <w:numId w:val="10"/>
        </w:numPr>
      </w:pPr>
      <w:r>
        <w:rPr>
          <w:rFonts w:ascii="Times New Roman" w:hAnsi="Times New Roman" w:cs="Times New Roman"/>
          <w:sz w:val="24"/>
          <w:szCs w:val="24"/>
        </w:rPr>
        <w:t>One</w:t>
      </w:r>
      <w:r w:rsidRPr="0099288B">
        <w:rPr>
          <w:rFonts w:ascii="Times New Roman" w:hAnsi="Times New Roman" w:cs="Times New Roman"/>
          <w:sz w:val="24"/>
          <w:szCs w:val="24"/>
        </w:rPr>
        <w:t xml:space="preserve"> independent assessment exams </w:t>
      </w:r>
      <w:r>
        <w:rPr>
          <w:rFonts w:ascii="Times New Roman" w:hAnsi="Times New Roman" w:cs="Times New Roman"/>
          <w:sz w:val="24"/>
          <w:szCs w:val="24"/>
        </w:rPr>
        <w:t>was</w:t>
      </w:r>
      <w:r w:rsidRPr="0099288B">
        <w:rPr>
          <w:rFonts w:ascii="Times New Roman" w:hAnsi="Times New Roman" w:cs="Times New Roman"/>
          <w:sz w:val="24"/>
          <w:szCs w:val="24"/>
        </w:rPr>
        <w:t xml:space="preserve"> administered</w:t>
      </w:r>
      <w:r>
        <w:rPr>
          <w:rFonts w:ascii="Times New Roman" w:hAnsi="Times New Roman" w:cs="Times New Roman"/>
          <w:sz w:val="24"/>
          <w:szCs w:val="24"/>
        </w:rPr>
        <w:t xml:space="preserve">, </w:t>
      </w:r>
      <w:r w:rsidRPr="0099288B">
        <w:rPr>
          <w:rFonts w:ascii="Times New Roman" w:hAnsi="Times New Roman" w:cs="Times New Roman"/>
          <w:b/>
          <w:sz w:val="24"/>
          <w:szCs w:val="24"/>
        </w:rPr>
        <w:t>Introductory Thermal Concept Evaluation</w:t>
      </w:r>
      <w:r w:rsidRPr="0099288B">
        <w:rPr>
          <w:rFonts w:ascii="Times New Roman" w:hAnsi="Times New Roman" w:cs="Times New Roman"/>
          <w:sz w:val="24"/>
          <w:szCs w:val="24"/>
        </w:rPr>
        <w:t xml:space="preserve"> (</w:t>
      </w:r>
      <w:r w:rsidRPr="0099288B">
        <w:rPr>
          <w:rFonts w:ascii="Times New Roman" w:hAnsi="Times New Roman" w:cs="Times New Roman"/>
          <w:i/>
          <w:sz w:val="24"/>
          <w:szCs w:val="24"/>
        </w:rPr>
        <w:t>The Physics Teacher, November 2001)</w:t>
      </w:r>
      <w:r w:rsidRPr="0099288B">
        <w:rPr>
          <w:rFonts w:ascii="Times New Roman" w:hAnsi="Times New Roman" w:cs="Times New Roman"/>
          <w:sz w:val="24"/>
          <w:szCs w:val="24"/>
        </w:rPr>
        <w:t>.  The results are as follows:</w:t>
      </w:r>
    </w:p>
    <w:p w:rsidR="005A5E90" w:rsidRPr="0099288B" w:rsidRDefault="0031707D" w:rsidP="005A5E90">
      <w:pPr>
        <w:pStyle w:val="ListParagraph"/>
      </w:pPr>
      <w:r w:rsidRPr="0031707D">
        <w:rPr>
          <w:noProof/>
        </w:rPr>
        <w:drawing>
          <wp:inline distT="0" distB="0" distL="0" distR="0">
            <wp:extent cx="4572000" cy="27432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9288B" w:rsidRDefault="0099288B" w:rsidP="008C65FB">
      <w:pPr>
        <w:rPr>
          <w:color w:val="FF0000"/>
        </w:rPr>
      </w:pPr>
    </w:p>
    <w:p w:rsidR="0099288B" w:rsidRPr="0099288B" w:rsidRDefault="0099288B" w:rsidP="008C65FB"/>
    <w:p w:rsidR="005B39E9" w:rsidRDefault="005D6D36" w:rsidP="008C65FB">
      <w:r>
        <w:t xml:space="preserve">Fall 2009: </w:t>
      </w:r>
    </w:p>
    <w:p w:rsidR="005D6D36" w:rsidRPr="00986F80" w:rsidRDefault="005D6D36" w:rsidP="005D6D36">
      <w:pPr>
        <w:pStyle w:val="ListParagraph"/>
        <w:numPr>
          <w:ilvl w:val="0"/>
          <w:numId w:val="12"/>
        </w:numPr>
        <w:rPr>
          <w:rFonts w:ascii="Times New Roman" w:hAnsi="Times New Roman" w:cs="Times New Roman"/>
          <w:sz w:val="24"/>
          <w:szCs w:val="24"/>
        </w:rPr>
      </w:pPr>
      <w:r w:rsidRPr="00986F80">
        <w:rPr>
          <w:rFonts w:ascii="Times New Roman" w:hAnsi="Times New Roman" w:cs="Times New Roman"/>
          <w:sz w:val="24"/>
          <w:szCs w:val="24"/>
        </w:rPr>
        <w:t>The midterm exams and final was administered to 17 students.</w:t>
      </w:r>
    </w:p>
    <w:p w:rsidR="005D6D36" w:rsidRPr="00986F80" w:rsidRDefault="005D6D36" w:rsidP="005D6D36">
      <w:pPr>
        <w:pStyle w:val="ListParagraph"/>
        <w:numPr>
          <w:ilvl w:val="0"/>
          <w:numId w:val="12"/>
        </w:numPr>
        <w:rPr>
          <w:rFonts w:ascii="Times New Roman" w:hAnsi="Times New Roman" w:cs="Times New Roman"/>
          <w:sz w:val="24"/>
          <w:szCs w:val="24"/>
        </w:rPr>
      </w:pPr>
      <w:r w:rsidRPr="00986F80">
        <w:rPr>
          <w:rFonts w:ascii="Times New Roman" w:hAnsi="Times New Roman" w:cs="Times New Roman"/>
          <w:sz w:val="24"/>
          <w:szCs w:val="24"/>
        </w:rPr>
        <w:lastRenderedPageBreak/>
        <w:t>Average on the midterms was 88%.  The average for the final was 70%.</w:t>
      </w:r>
    </w:p>
    <w:p w:rsidR="00986F80" w:rsidRPr="00986F80" w:rsidRDefault="00986F80" w:rsidP="005D6D36">
      <w:pPr>
        <w:pStyle w:val="ListParagraph"/>
        <w:numPr>
          <w:ilvl w:val="0"/>
          <w:numId w:val="12"/>
        </w:numPr>
      </w:pPr>
      <w:r w:rsidRPr="00986F80">
        <w:rPr>
          <w:rFonts w:ascii="Times New Roman" w:hAnsi="Times New Roman" w:cs="Times New Roman"/>
          <w:sz w:val="24"/>
          <w:szCs w:val="24"/>
        </w:rPr>
        <w:t>The midterm scores ranged from 40% to 99%.  The final exam scores ranged from 38% to 100%.</w:t>
      </w:r>
    </w:p>
    <w:p w:rsidR="00986F80" w:rsidRDefault="00986F80" w:rsidP="005D6D36">
      <w:pPr>
        <w:pStyle w:val="ListParagraph"/>
        <w:numPr>
          <w:ilvl w:val="0"/>
          <w:numId w:val="12"/>
        </w:numPr>
        <w:rPr>
          <w:rFonts w:ascii="Times New Roman" w:hAnsi="Times New Roman" w:cs="Times New Roman"/>
          <w:sz w:val="24"/>
          <w:szCs w:val="24"/>
        </w:rPr>
      </w:pPr>
      <w:r w:rsidRPr="00986F80">
        <w:rPr>
          <w:rFonts w:ascii="Times New Roman" w:hAnsi="Times New Roman" w:cs="Times New Roman"/>
          <w:sz w:val="24"/>
          <w:szCs w:val="24"/>
        </w:rPr>
        <w:t>Thermal Concept Evaluation, in its entirety, was adopted for the assessment tool.  This test was administered as the pre-test and post-test for Survey of Physical Science.</w:t>
      </w:r>
    </w:p>
    <w:p w:rsidR="00986F80" w:rsidRDefault="00986F80" w:rsidP="005D6D3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Pre-test average was 29% and post-test was 24.85%</w:t>
      </w:r>
    </w:p>
    <w:p w:rsidR="00986F80" w:rsidRPr="00E052E9" w:rsidRDefault="00986F80" w:rsidP="005D6D3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High score on the pre-test was 65.38% and the post-test was 50%.  The low scores were 11.54% for the pre-test and 0% on the post-test.  </w:t>
      </w:r>
    </w:p>
    <w:p w:rsidR="00E052E9" w:rsidRDefault="00E052E9" w:rsidP="00E052E9"/>
    <w:p w:rsidR="00E052E9" w:rsidRPr="00E052E9" w:rsidRDefault="00E052E9" w:rsidP="00E052E9"/>
    <w:p w:rsidR="00A02012" w:rsidRDefault="00A02012" w:rsidP="008C65FB">
      <w:pPr>
        <w:ind w:left="360"/>
        <w:jc w:val="center"/>
        <w:rPr>
          <w:sz w:val="32"/>
          <w:szCs w:val="32"/>
        </w:rPr>
      </w:pPr>
    </w:p>
    <w:p w:rsidR="00A02012" w:rsidRDefault="00A02012" w:rsidP="008C65FB">
      <w:pPr>
        <w:ind w:left="360"/>
        <w:jc w:val="center"/>
        <w:rPr>
          <w:sz w:val="32"/>
          <w:szCs w:val="32"/>
        </w:rPr>
      </w:pPr>
    </w:p>
    <w:p w:rsidR="00A02012" w:rsidRDefault="00A02012" w:rsidP="008C65FB">
      <w:pPr>
        <w:ind w:left="360"/>
        <w:jc w:val="center"/>
        <w:rPr>
          <w:sz w:val="32"/>
          <w:szCs w:val="32"/>
        </w:rPr>
      </w:pPr>
    </w:p>
    <w:p w:rsidR="00A02012" w:rsidRDefault="00A02012" w:rsidP="008C65FB">
      <w:pPr>
        <w:ind w:left="360"/>
        <w:jc w:val="center"/>
        <w:rPr>
          <w:sz w:val="32"/>
          <w:szCs w:val="32"/>
        </w:rPr>
      </w:pPr>
    </w:p>
    <w:p w:rsidR="00A02012" w:rsidRDefault="00A02012" w:rsidP="008C65FB">
      <w:pPr>
        <w:ind w:left="360"/>
        <w:jc w:val="center"/>
        <w:rPr>
          <w:sz w:val="32"/>
          <w:szCs w:val="32"/>
        </w:rPr>
      </w:pPr>
    </w:p>
    <w:p w:rsidR="00A02012" w:rsidRDefault="00E86AEB" w:rsidP="008C65FB">
      <w:pPr>
        <w:ind w:left="360"/>
        <w:jc w:val="center"/>
        <w:rPr>
          <w:sz w:val="32"/>
          <w:szCs w:val="32"/>
        </w:rPr>
      </w:pPr>
      <w:r w:rsidRPr="00E86AEB">
        <w:rPr>
          <w:noProof/>
          <w:sz w:val="32"/>
          <w:szCs w:val="32"/>
        </w:rPr>
        <w:drawing>
          <wp:inline distT="0" distB="0" distL="0" distR="0">
            <wp:extent cx="4705350" cy="2743200"/>
            <wp:effectExtent l="19050" t="0" r="19050" b="0"/>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02012" w:rsidRDefault="00A02012" w:rsidP="008C65FB">
      <w:pPr>
        <w:ind w:left="360"/>
        <w:jc w:val="center"/>
        <w:rPr>
          <w:sz w:val="32"/>
          <w:szCs w:val="32"/>
        </w:rPr>
      </w:pPr>
    </w:p>
    <w:p w:rsidR="00A02012" w:rsidRDefault="00A02012" w:rsidP="008C65FB">
      <w:pPr>
        <w:ind w:left="360"/>
        <w:jc w:val="center"/>
        <w:rPr>
          <w:sz w:val="32"/>
          <w:szCs w:val="32"/>
        </w:rPr>
      </w:pPr>
    </w:p>
    <w:p w:rsidR="00A02012" w:rsidRDefault="00A02012" w:rsidP="008C65FB">
      <w:pPr>
        <w:ind w:left="360"/>
        <w:jc w:val="center"/>
        <w:rPr>
          <w:sz w:val="32"/>
          <w:szCs w:val="32"/>
        </w:rPr>
      </w:pPr>
    </w:p>
    <w:p w:rsidR="00A02012" w:rsidRDefault="00A02012" w:rsidP="008C65FB">
      <w:pPr>
        <w:ind w:left="360"/>
        <w:jc w:val="center"/>
        <w:rPr>
          <w:sz w:val="32"/>
          <w:szCs w:val="32"/>
        </w:rPr>
      </w:pPr>
    </w:p>
    <w:p w:rsidR="00A02012" w:rsidRDefault="00A02012" w:rsidP="008C65FB">
      <w:pPr>
        <w:ind w:left="360"/>
        <w:jc w:val="center"/>
        <w:rPr>
          <w:sz w:val="32"/>
          <w:szCs w:val="32"/>
        </w:rPr>
      </w:pPr>
    </w:p>
    <w:p w:rsidR="00A02012" w:rsidRDefault="00A02012" w:rsidP="008C65FB">
      <w:pPr>
        <w:ind w:left="360"/>
        <w:jc w:val="center"/>
        <w:rPr>
          <w:sz w:val="32"/>
          <w:szCs w:val="32"/>
        </w:rPr>
      </w:pPr>
    </w:p>
    <w:p w:rsidR="002B0FA6" w:rsidRDefault="002B0FA6" w:rsidP="002B0FA6">
      <w:pPr>
        <w:rPr>
          <w:sz w:val="32"/>
          <w:szCs w:val="32"/>
        </w:rPr>
      </w:pPr>
    </w:p>
    <w:p w:rsidR="002B0FA6" w:rsidRDefault="002B0FA6" w:rsidP="002B0FA6">
      <w:pPr>
        <w:rPr>
          <w:sz w:val="32"/>
          <w:szCs w:val="32"/>
        </w:rPr>
      </w:pPr>
    </w:p>
    <w:p w:rsidR="002B0FA6" w:rsidRDefault="002B0FA6" w:rsidP="002B0FA6">
      <w:pPr>
        <w:rPr>
          <w:sz w:val="32"/>
          <w:szCs w:val="32"/>
        </w:rPr>
      </w:pPr>
    </w:p>
    <w:p w:rsidR="008C65FB" w:rsidRPr="008C65FB" w:rsidRDefault="002B0FA6" w:rsidP="002B0FA6">
      <w:r>
        <w:rPr>
          <w:sz w:val="32"/>
          <w:szCs w:val="32"/>
        </w:rPr>
        <w:t xml:space="preserve">        </w:t>
      </w:r>
      <w:r w:rsidR="008C65FB">
        <w:rPr>
          <w:sz w:val="32"/>
          <w:szCs w:val="32"/>
        </w:rPr>
        <w:t xml:space="preserve">Most Frequently Missed Questions </w:t>
      </w:r>
      <w:r w:rsidR="008C65FB">
        <w:t>(more than 50%)</w:t>
      </w:r>
    </w:p>
    <w:tbl>
      <w:tblPr>
        <w:tblStyle w:val="TableGrid"/>
        <w:tblW w:w="10170" w:type="dxa"/>
        <w:tblInd w:w="-432" w:type="dxa"/>
        <w:tblLayout w:type="fixed"/>
        <w:tblLook w:val="01E0"/>
      </w:tblPr>
      <w:tblGrid>
        <w:gridCol w:w="2610"/>
        <w:gridCol w:w="2520"/>
        <w:gridCol w:w="2532"/>
        <w:gridCol w:w="2508"/>
      </w:tblGrid>
      <w:tr w:rsidR="005B39E9" w:rsidRPr="00947FF4" w:rsidTr="00947FF4">
        <w:trPr>
          <w:trHeight w:val="279"/>
        </w:trPr>
        <w:tc>
          <w:tcPr>
            <w:tcW w:w="2610" w:type="dxa"/>
          </w:tcPr>
          <w:p w:rsidR="005B39E9" w:rsidRPr="00947FF4" w:rsidRDefault="005B39E9" w:rsidP="00A31482">
            <w:pPr>
              <w:rPr>
                <w:b/>
                <w:sz w:val="20"/>
                <w:szCs w:val="20"/>
              </w:rPr>
            </w:pPr>
            <w:r w:rsidRPr="00947FF4">
              <w:rPr>
                <w:b/>
                <w:sz w:val="20"/>
                <w:szCs w:val="20"/>
              </w:rPr>
              <w:t>Spring 2007</w:t>
            </w:r>
          </w:p>
        </w:tc>
        <w:tc>
          <w:tcPr>
            <w:tcW w:w="2520" w:type="dxa"/>
          </w:tcPr>
          <w:p w:rsidR="005B39E9" w:rsidRPr="00947FF4" w:rsidRDefault="005B39E9" w:rsidP="005B39E9">
            <w:pPr>
              <w:rPr>
                <w:b/>
                <w:sz w:val="20"/>
                <w:szCs w:val="20"/>
              </w:rPr>
            </w:pPr>
            <w:r w:rsidRPr="00947FF4">
              <w:rPr>
                <w:b/>
                <w:sz w:val="20"/>
                <w:szCs w:val="20"/>
              </w:rPr>
              <w:t>Fall 2007</w:t>
            </w:r>
          </w:p>
        </w:tc>
        <w:tc>
          <w:tcPr>
            <w:tcW w:w="2532" w:type="dxa"/>
          </w:tcPr>
          <w:p w:rsidR="005B39E9" w:rsidRPr="00947FF4" w:rsidRDefault="005B39E9" w:rsidP="00A31482">
            <w:pPr>
              <w:rPr>
                <w:b/>
                <w:sz w:val="20"/>
                <w:szCs w:val="20"/>
              </w:rPr>
            </w:pPr>
            <w:r w:rsidRPr="00947FF4">
              <w:rPr>
                <w:b/>
                <w:sz w:val="20"/>
                <w:szCs w:val="20"/>
              </w:rPr>
              <w:t>Fall 2008</w:t>
            </w:r>
          </w:p>
        </w:tc>
        <w:tc>
          <w:tcPr>
            <w:tcW w:w="2508" w:type="dxa"/>
          </w:tcPr>
          <w:p w:rsidR="005B39E9" w:rsidRPr="00947FF4" w:rsidRDefault="005B39E9" w:rsidP="00A31482">
            <w:pPr>
              <w:rPr>
                <w:b/>
                <w:sz w:val="20"/>
                <w:szCs w:val="20"/>
              </w:rPr>
            </w:pPr>
            <w:r w:rsidRPr="00947FF4">
              <w:rPr>
                <w:b/>
                <w:sz w:val="20"/>
                <w:szCs w:val="20"/>
              </w:rPr>
              <w:t>Fall 2009</w:t>
            </w:r>
          </w:p>
        </w:tc>
      </w:tr>
      <w:tr w:rsidR="00947FF4" w:rsidRPr="00947FF4" w:rsidTr="00947FF4">
        <w:trPr>
          <w:trHeight w:val="3374"/>
        </w:trPr>
        <w:tc>
          <w:tcPr>
            <w:tcW w:w="2610" w:type="dxa"/>
          </w:tcPr>
          <w:p w:rsidR="00947FF4" w:rsidRPr="00947FF4" w:rsidRDefault="00947FF4" w:rsidP="00A31482">
            <w:pPr>
              <w:rPr>
                <w:sz w:val="18"/>
                <w:szCs w:val="18"/>
                <w:u w:val="single"/>
              </w:rPr>
            </w:pPr>
            <w:r w:rsidRPr="00947FF4">
              <w:rPr>
                <w:sz w:val="18"/>
                <w:szCs w:val="18"/>
                <w:u w:val="single"/>
              </w:rPr>
              <w:t>Beyond the Solar System</w:t>
            </w:r>
          </w:p>
          <w:p w:rsidR="00947FF4" w:rsidRPr="00947FF4" w:rsidRDefault="00947FF4" w:rsidP="008C65FB">
            <w:pPr>
              <w:pStyle w:val="ListParagraph"/>
              <w:numPr>
                <w:ilvl w:val="0"/>
                <w:numId w:val="5"/>
              </w:numPr>
              <w:rPr>
                <w:rFonts w:ascii="Times New Roman" w:hAnsi="Times New Roman" w:cs="Times New Roman"/>
                <w:sz w:val="18"/>
                <w:szCs w:val="18"/>
              </w:rPr>
            </w:pPr>
            <w:r w:rsidRPr="00947FF4">
              <w:rPr>
                <w:rFonts w:ascii="Times New Roman" w:hAnsi="Times New Roman" w:cs="Times New Roman"/>
                <w:sz w:val="18"/>
                <w:szCs w:val="18"/>
              </w:rPr>
              <w:t>Sun was an average star</w:t>
            </w:r>
          </w:p>
          <w:p w:rsidR="00947FF4" w:rsidRPr="00947FF4" w:rsidRDefault="00947FF4" w:rsidP="008C65FB">
            <w:pPr>
              <w:pStyle w:val="ListParagraph"/>
              <w:numPr>
                <w:ilvl w:val="0"/>
                <w:numId w:val="5"/>
              </w:numPr>
              <w:rPr>
                <w:rFonts w:ascii="Times New Roman" w:hAnsi="Times New Roman" w:cs="Times New Roman"/>
                <w:sz w:val="18"/>
                <w:szCs w:val="18"/>
              </w:rPr>
            </w:pPr>
            <w:r w:rsidRPr="00947FF4">
              <w:rPr>
                <w:rFonts w:ascii="Times New Roman" w:hAnsi="Times New Roman" w:cs="Times New Roman"/>
                <w:sz w:val="18"/>
                <w:szCs w:val="18"/>
              </w:rPr>
              <w:t>Stars are light-years distance from Earth</w:t>
            </w:r>
          </w:p>
          <w:p w:rsidR="00947FF4" w:rsidRPr="00947FF4" w:rsidRDefault="00947FF4" w:rsidP="008C65FB">
            <w:pPr>
              <w:pStyle w:val="ListParagraph"/>
              <w:numPr>
                <w:ilvl w:val="0"/>
                <w:numId w:val="5"/>
              </w:numPr>
              <w:rPr>
                <w:rFonts w:ascii="Times New Roman" w:hAnsi="Times New Roman" w:cs="Times New Roman"/>
                <w:sz w:val="18"/>
                <w:szCs w:val="18"/>
              </w:rPr>
            </w:pPr>
            <w:r w:rsidRPr="00947FF4">
              <w:rPr>
                <w:rFonts w:ascii="Times New Roman" w:hAnsi="Times New Roman" w:cs="Times New Roman"/>
                <w:sz w:val="18"/>
                <w:szCs w:val="18"/>
              </w:rPr>
              <w:t>Atmosphere obscures images from outer space</w:t>
            </w:r>
          </w:p>
          <w:p w:rsidR="00947FF4" w:rsidRPr="00947FF4" w:rsidRDefault="00947FF4" w:rsidP="008C65FB">
            <w:pPr>
              <w:pStyle w:val="ListParagraph"/>
              <w:numPr>
                <w:ilvl w:val="0"/>
                <w:numId w:val="5"/>
              </w:numPr>
              <w:rPr>
                <w:rFonts w:ascii="Times New Roman" w:hAnsi="Times New Roman" w:cs="Times New Roman"/>
                <w:sz w:val="18"/>
                <w:szCs w:val="18"/>
              </w:rPr>
            </w:pPr>
            <w:r w:rsidRPr="00947FF4">
              <w:rPr>
                <w:rFonts w:ascii="Times New Roman" w:hAnsi="Times New Roman" w:cs="Times New Roman"/>
                <w:sz w:val="18"/>
                <w:szCs w:val="18"/>
              </w:rPr>
              <w:t>Elements hydrogen and helium formed shortly after the big bang were uniformly distributed</w:t>
            </w:r>
          </w:p>
          <w:p w:rsidR="00947FF4" w:rsidRPr="00947FF4" w:rsidRDefault="00947FF4" w:rsidP="00A31482">
            <w:pPr>
              <w:pStyle w:val="ListParagraph"/>
              <w:numPr>
                <w:ilvl w:val="0"/>
                <w:numId w:val="5"/>
              </w:numPr>
              <w:rPr>
                <w:rFonts w:ascii="Times New Roman" w:hAnsi="Times New Roman" w:cs="Times New Roman"/>
                <w:sz w:val="18"/>
                <w:szCs w:val="18"/>
              </w:rPr>
            </w:pPr>
            <w:r w:rsidRPr="00947FF4">
              <w:rPr>
                <w:rFonts w:ascii="Times New Roman" w:hAnsi="Times New Roman" w:cs="Times New Roman"/>
                <w:sz w:val="18"/>
                <w:szCs w:val="18"/>
              </w:rPr>
              <w:t>Solar system was formed from the remnants of other stars</w:t>
            </w:r>
          </w:p>
        </w:tc>
        <w:tc>
          <w:tcPr>
            <w:tcW w:w="2520" w:type="dxa"/>
          </w:tcPr>
          <w:p w:rsidR="00947FF4" w:rsidRPr="00947FF4" w:rsidRDefault="00947FF4" w:rsidP="00A31482">
            <w:pPr>
              <w:rPr>
                <w:sz w:val="18"/>
                <w:szCs w:val="18"/>
                <w:u w:val="single"/>
              </w:rPr>
            </w:pPr>
            <w:r w:rsidRPr="00947FF4">
              <w:rPr>
                <w:sz w:val="18"/>
                <w:szCs w:val="18"/>
                <w:u w:val="single"/>
              </w:rPr>
              <w:t>Beyond the Solar System</w:t>
            </w:r>
          </w:p>
          <w:p w:rsidR="00947FF4" w:rsidRDefault="00A02012" w:rsidP="005B39E9">
            <w:pPr>
              <w:pStyle w:val="ListParagraph"/>
              <w:numPr>
                <w:ilvl w:val="0"/>
                <w:numId w:val="7"/>
              </w:numPr>
              <w:rPr>
                <w:rFonts w:ascii="Times New Roman" w:hAnsi="Times New Roman" w:cs="Times New Roman"/>
                <w:sz w:val="18"/>
                <w:szCs w:val="18"/>
              </w:rPr>
            </w:pPr>
            <w:r>
              <w:rPr>
                <w:rFonts w:ascii="Times New Roman" w:hAnsi="Times New Roman" w:cs="Times New Roman"/>
                <w:sz w:val="18"/>
                <w:szCs w:val="18"/>
              </w:rPr>
              <w:t>Sun is  light-minutes distance from earth</w:t>
            </w:r>
          </w:p>
          <w:p w:rsidR="00A02012" w:rsidRDefault="00A02012" w:rsidP="005B39E9">
            <w:pPr>
              <w:pStyle w:val="ListParagraph"/>
              <w:numPr>
                <w:ilvl w:val="0"/>
                <w:numId w:val="7"/>
              </w:numPr>
              <w:rPr>
                <w:rFonts w:ascii="Times New Roman" w:hAnsi="Times New Roman" w:cs="Times New Roman"/>
                <w:sz w:val="18"/>
                <w:szCs w:val="18"/>
              </w:rPr>
            </w:pPr>
            <w:r>
              <w:rPr>
                <w:rFonts w:ascii="Times New Roman" w:hAnsi="Times New Roman" w:cs="Times New Roman"/>
                <w:sz w:val="18"/>
                <w:szCs w:val="18"/>
              </w:rPr>
              <w:t>Atmosphere obscures images from outer space</w:t>
            </w:r>
            <w:r w:rsidR="002522DE">
              <w:rPr>
                <w:rFonts w:ascii="Times New Roman" w:hAnsi="Times New Roman" w:cs="Times New Roman"/>
                <w:sz w:val="18"/>
                <w:szCs w:val="18"/>
              </w:rPr>
              <w:t>*</w:t>
            </w:r>
          </w:p>
          <w:p w:rsidR="00A02012" w:rsidRDefault="00A02012" w:rsidP="005B39E9">
            <w:pPr>
              <w:pStyle w:val="ListParagraph"/>
              <w:numPr>
                <w:ilvl w:val="0"/>
                <w:numId w:val="7"/>
              </w:numPr>
              <w:rPr>
                <w:rFonts w:ascii="Times New Roman" w:hAnsi="Times New Roman" w:cs="Times New Roman"/>
                <w:sz w:val="18"/>
                <w:szCs w:val="18"/>
              </w:rPr>
            </w:pPr>
            <w:r>
              <w:rPr>
                <w:rFonts w:ascii="Times New Roman" w:hAnsi="Times New Roman" w:cs="Times New Roman"/>
                <w:sz w:val="18"/>
                <w:szCs w:val="18"/>
              </w:rPr>
              <w:t>Relative distances of planets, stars, galaxies from earth</w:t>
            </w:r>
          </w:p>
          <w:p w:rsidR="00A02012" w:rsidRDefault="00A02012" w:rsidP="005B39E9">
            <w:pPr>
              <w:pStyle w:val="ListParagraph"/>
              <w:numPr>
                <w:ilvl w:val="0"/>
                <w:numId w:val="7"/>
              </w:numPr>
              <w:rPr>
                <w:rFonts w:ascii="Times New Roman" w:hAnsi="Times New Roman" w:cs="Times New Roman"/>
                <w:sz w:val="18"/>
                <w:szCs w:val="18"/>
              </w:rPr>
            </w:pPr>
            <w:r>
              <w:rPr>
                <w:rFonts w:ascii="Times New Roman" w:hAnsi="Times New Roman" w:cs="Times New Roman"/>
                <w:sz w:val="18"/>
                <w:szCs w:val="18"/>
              </w:rPr>
              <w:t>Elements hydrogen and Helium formed shortly after the big bang were uniformly distributed</w:t>
            </w:r>
            <w:r w:rsidR="002522DE">
              <w:rPr>
                <w:rFonts w:ascii="Times New Roman" w:hAnsi="Times New Roman" w:cs="Times New Roman"/>
                <w:sz w:val="18"/>
                <w:szCs w:val="18"/>
              </w:rPr>
              <w:t>*</w:t>
            </w:r>
          </w:p>
          <w:p w:rsidR="00A02012" w:rsidRDefault="00A02012" w:rsidP="005B39E9">
            <w:pPr>
              <w:pStyle w:val="ListParagraph"/>
              <w:numPr>
                <w:ilvl w:val="0"/>
                <w:numId w:val="7"/>
              </w:numPr>
              <w:rPr>
                <w:rFonts w:ascii="Times New Roman" w:hAnsi="Times New Roman" w:cs="Times New Roman"/>
                <w:sz w:val="18"/>
                <w:szCs w:val="18"/>
              </w:rPr>
            </w:pPr>
            <w:r>
              <w:rPr>
                <w:rFonts w:ascii="Times New Roman" w:hAnsi="Times New Roman" w:cs="Times New Roman"/>
                <w:sz w:val="18"/>
                <w:szCs w:val="18"/>
              </w:rPr>
              <w:t>Solar System contains remnants of other stars</w:t>
            </w:r>
            <w:r w:rsidR="002522DE">
              <w:rPr>
                <w:rFonts w:ascii="Times New Roman" w:hAnsi="Times New Roman" w:cs="Times New Roman"/>
                <w:sz w:val="18"/>
                <w:szCs w:val="18"/>
              </w:rPr>
              <w:t>*</w:t>
            </w:r>
          </w:p>
          <w:p w:rsidR="00A02012" w:rsidRPr="00947FF4" w:rsidRDefault="00A02012" w:rsidP="005B39E9">
            <w:pPr>
              <w:pStyle w:val="ListParagraph"/>
              <w:numPr>
                <w:ilvl w:val="0"/>
                <w:numId w:val="7"/>
              </w:numPr>
              <w:rPr>
                <w:rFonts w:ascii="Times New Roman" w:hAnsi="Times New Roman" w:cs="Times New Roman"/>
                <w:sz w:val="18"/>
                <w:szCs w:val="18"/>
              </w:rPr>
            </w:pPr>
            <w:r>
              <w:rPr>
                <w:rFonts w:ascii="Times New Roman" w:hAnsi="Times New Roman" w:cs="Times New Roman"/>
                <w:sz w:val="18"/>
                <w:szCs w:val="18"/>
              </w:rPr>
              <w:t>Elements Iron, Carbon, Oxygen were formed in stars</w:t>
            </w:r>
          </w:p>
        </w:tc>
        <w:tc>
          <w:tcPr>
            <w:tcW w:w="2532" w:type="dxa"/>
          </w:tcPr>
          <w:p w:rsidR="00947FF4" w:rsidRPr="00947FF4" w:rsidRDefault="00947FF4" w:rsidP="00A31482">
            <w:pPr>
              <w:rPr>
                <w:sz w:val="18"/>
                <w:szCs w:val="18"/>
              </w:rPr>
            </w:pPr>
            <w:r w:rsidRPr="00947FF4">
              <w:rPr>
                <w:sz w:val="18"/>
                <w:szCs w:val="18"/>
                <w:u w:val="single"/>
              </w:rPr>
              <w:t>Beyond the Solar System</w:t>
            </w:r>
          </w:p>
          <w:p w:rsidR="00947FF4" w:rsidRPr="00947FF4" w:rsidRDefault="00947FF4" w:rsidP="009D2103">
            <w:pPr>
              <w:pStyle w:val="ListParagraph"/>
              <w:numPr>
                <w:ilvl w:val="0"/>
                <w:numId w:val="11"/>
              </w:numPr>
              <w:rPr>
                <w:rFonts w:ascii="Times New Roman" w:hAnsi="Times New Roman" w:cs="Times New Roman"/>
                <w:sz w:val="18"/>
                <w:szCs w:val="18"/>
              </w:rPr>
            </w:pPr>
            <w:r w:rsidRPr="00947FF4">
              <w:rPr>
                <w:rFonts w:ascii="Times New Roman" w:hAnsi="Times New Roman" w:cs="Times New Roman"/>
                <w:sz w:val="18"/>
                <w:szCs w:val="18"/>
              </w:rPr>
              <w:t>Not administered</w:t>
            </w:r>
          </w:p>
        </w:tc>
        <w:tc>
          <w:tcPr>
            <w:tcW w:w="2508" w:type="dxa"/>
          </w:tcPr>
          <w:p w:rsidR="00947FF4" w:rsidRPr="00947FF4" w:rsidRDefault="00947FF4" w:rsidP="00A31482">
            <w:pPr>
              <w:rPr>
                <w:sz w:val="18"/>
                <w:szCs w:val="18"/>
              </w:rPr>
            </w:pPr>
            <w:r w:rsidRPr="00947FF4">
              <w:rPr>
                <w:sz w:val="18"/>
                <w:szCs w:val="18"/>
                <w:u w:val="single"/>
              </w:rPr>
              <w:t>Beyond the Solar System</w:t>
            </w:r>
          </w:p>
          <w:p w:rsidR="00947FF4" w:rsidRPr="00947FF4" w:rsidRDefault="00947FF4" w:rsidP="00A31482">
            <w:pPr>
              <w:pStyle w:val="ListParagraph"/>
              <w:numPr>
                <w:ilvl w:val="0"/>
                <w:numId w:val="11"/>
              </w:numPr>
              <w:rPr>
                <w:rFonts w:ascii="Times New Roman" w:hAnsi="Times New Roman" w:cs="Times New Roman"/>
                <w:sz w:val="18"/>
                <w:szCs w:val="18"/>
              </w:rPr>
            </w:pPr>
            <w:r w:rsidRPr="00947FF4">
              <w:rPr>
                <w:rFonts w:ascii="Times New Roman" w:hAnsi="Times New Roman" w:cs="Times New Roman"/>
                <w:sz w:val="18"/>
                <w:szCs w:val="18"/>
              </w:rPr>
              <w:t>Not administered</w:t>
            </w:r>
          </w:p>
        </w:tc>
      </w:tr>
      <w:tr w:rsidR="00947FF4" w:rsidRPr="00947FF4" w:rsidTr="00947FF4">
        <w:trPr>
          <w:trHeight w:val="147"/>
        </w:trPr>
        <w:tc>
          <w:tcPr>
            <w:tcW w:w="2610" w:type="dxa"/>
          </w:tcPr>
          <w:p w:rsidR="00947FF4" w:rsidRPr="00947FF4" w:rsidRDefault="00947FF4" w:rsidP="00A31482">
            <w:pPr>
              <w:rPr>
                <w:sz w:val="18"/>
                <w:szCs w:val="18"/>
                <w:u w:val="single"/>
              </w:rPr>
            </w:pPr>
            <w:r w:rsidRPr="00947FF4">
              <w:rPr>
                <w:sz w:val="18"/>
                <w:szCs w:val="18"/>
                <w:u w:val="single"/>
              </w:rPr>
              <w:t>Introductory Thermal Concept Evaluation</w:t>
            </w:r>
          </w:p>
          <w:p w:rsidR="00947FF4" w:rsidRPr="00947FF4" w:rsidRDefault="00947FF4" w:rsidP="008C65FB">
            <w:pPr>
              <w:pStyle w:val="ListParagraph"/>
              <w:numPr>
                <w:ilvl w:val="0"/>
                <w:numId w:val="6"/>
              </w:numPr>
              <w:rPr>
                <w:rFonts w:ascii="Times New Roman" w:hAnsi="Times New Roman" w:cs="Times New Roman"/>
                <w:sz w:val="18"/>
                <w:szCs w:val="18"/>
              </w:rPr>
            </w:pPr>
            <w:r w:rsidRPr="00947FF4">
              <w:rPr>
                <w:rFonts w:ascii="Times New Roman" w:hAnsi="Times New Roman" w:cs="Times New Roman"/>
                <w:sz w:val="18"/>
                <w:szCs w:val="18"/>
              </w:rPr>
              <w:t xml:space="preserve">Concept of latent heat for phase changes </w:t>
            </w:r>
          </w:p>
          <w:p w:rsidR="00947FF4" w:rsidRPr="00947FF4" w:rsidRDefault="00947FF4" w:rsidP="008C65FB">
            <w:pPr>
              <w:pStyle w:val="ListParagraph"/>
              <w:numPr>
                <w:ilvl w:val="0"/>
                <w:numId w:val="6"/>
              </w:numPr>
              <w:rPr>
                <w:rFonts w:ascii="Times New Roman" w:hAnsi="Times New Roman" w:cs="Times New Roman"/>
                <w:sz w:val="18"/>
                <w:szCs w:val="18"/>
              </w:rPr>
            </w:pPr>
            <w:r w:rsidRPr="00947FF4">
              <w:rPr>
                <w:rFonts w:ascii="Times New Roman" w:hAnsi="Times New Roman" w:cs="Times New Roman"/>
                <w:sz w:val="18"/>
                <w:szCs w:val="18"/>
              </w:rPr>
              <w:t>Applied pressure effects boiling points *</w:t>
            </w:r>
          </w:p>
          <w:p w:rsidR="00947FF4" w:rsidRPr="00947FF4" w:rsidRDefault="00947FF4" w:rsidP="008C65FB">
            <w:pPr>
              <w:pStyle w:val="ListParagraph"/>
              <w:numPr>
                <w:ilvl w:val="0"/>
                <w:numId w:val="4"/>
              </w:numPr>
              <w:rPr>
                <w:rFonts w:ascii="Times New Roman" w:hAnsi="Times New Roman" w:cs="Times New Roman"/>
                <w:sz w:val="18"/>
                <w:szCs w:val="18"/>
              </w:rPr>
            </w:pPr>
            <w:r w:rsidRPr="00947FF4">
              <w:rPr>
                <w:rFonts w:ascii="Times New Roman" w:hAnsi="Times New Roman" w:cs="Times New Roman"/>
                <w:sz w:val="18"/>
                <w:szCs w:val="18"/>
              </w:rPr>
              <w:t>Direction of heat flow *</w:t>
            </w:r>
          </w:p>
          <w:p w:rsidR="00947FF4" w:rsidRPr="00947FF4" w:rsidRDefault="00947FF4" w:rsidP="008C65FB">
            <w:pPr>
              <w:pStyle w:val="ListParagraph"/>
              <w:numPr>
                <w:ilvl w:val="0"/>
                <w:numId w:val="4"/>
              </w:numPr>
              <w:rPr>
                <w:rFonts w:ascii="Times New Roman" w:hAnsi="Times New Roman" w:cs="Times New Roman"/>
                <w:sz w:val="18"/>
                <w:szCs w:val="18"/>
              </w:rPr>
            </w:pPr>
            <w:r w:rsidRPr="00947FF4">
              <w:rPr>
                <w:rFonts w:ascii="Times New Roman" w:hAnsi="Times New Roman" w:cs="Times New Roman"/>
                <w:sz w:val="18"/>
                <w:szCs w:val="18"/>
              </w:rPr>
              <w:t xml:space="preserve">Temperature differences effect heat flow rate * </w:t>
            </w:r>
          </w:p>
          <w:p w:rsidR="00947FF4" w:rsidRPr="00947FF4" w:rsidRDefault="00947FF4" w:rsidP="008C65FB">
            <w:pPr>
              <w:pStyle w:val="ListParagraph"/>
              <w:numPr>
                <w:ilvl w:val="0"/>
                <w:numId w:val="6"/>
              </w:numPr>
              <w:rPr>
                <w:sz w:val="18"/>
                <w:szCs w:val="18"/>
              </w:rPr>
            </w:pPr>
            <w:r w:rsidRPr="00947FF4">
              <w:rPr>
                <w:rFonts w:ascii="Times New Roman" w:hAnsi="Times New Roman" w:cs="Times New Roman"/>
                <w:sz w:val="18"/>
                <w:szCs w:val="18"/>
              </w:rPr>
              <w:t>Concept of a lowest possible temperature *</w:t>
            </w:r>
          </w:p>
        </w:tc>
        <w:tc>
          <w:tcPr>
            <w:tcW w:w="2520" w:type="dxa"/>
          </w:tcPr>
          <w:p w:rsidR="00947FF4" w:rsidRDefault="00947FF4" w:rsidP="00A31482">
            <w:pPr>
              <w:rPr>
                <w:sz w:val="18"/>
                <w:szCs w:val="18"/>
                <w:u w:val="single"/>
              </w:rPr>
            </w:pPr>
            <w:r w:rsidRPr="00947FF4">
              <w:rPr>
                <w:sz w:val="18"/>
                <w:szCs w:val="18"/>
                <w:u w:val="single"/>
              </w:rPr>
              <w:t>Introductory Thermal Concept Evaluation</w:t>
            </w:r>
          </w:p>
          <w:p w:rsidR="00562978" w:rsidRPr="005D53D6" w:rsidRDefault="00967E66" w:rsidP="005D53D6">
            <w:pPr>
              <w:pStyle w:val="ListParagraph"/>
              <w:numPr>
                <w:ilvl w:val="0"/>
                <w:numId w:val="6"/>
              </w:numPr>
              <w:rPr>
                <w:rFonts w:ascii="Times New Roman" w:hAnsi="Times New Roman" w:cs="Times New Roman"/>
                <w:sz w:val="18"/>
                <w:szCs w:val="18"/>
              </w:rPr>
            </w:pPr>
            <w:r>
              <w:rPr>
                <w:rFonts w:ascii="Times New Roman" w:hAnsi="Times New Roman" w:cs="Times New Roman"/>
                <w:sz w:val="18"/>
                <w:szCs w:val="18"/>
              </w:rPr>
              <w:t>not administered</w:t>
            </w:r>
          </w:p>
          <w:p w:rsidR="00947FF4" w:rsidRPr="00B64529" w:rsidRDefault="00947FF4" w:rsidP="005D53D6">
            <w:pPr>
              <w:rPr>
                <w:color w:val="FF0000"/>
                <w:sz w:val="18"/>
                <w:szCs w:val="18"/>
              </w:rPr>
            </w:pPr>
          </w:p>
        </w:tc>
        <w:tc>
          <w:tcPr>
            <w:tcW w:w="2532" w:type="dxa"/>
          </w:tcPr>
          <w:p w:rsidR="00947FF4" w:rsidRPr="00947FF4" w:rsidRDefault="00947FF4" w:rsidP="00A31482">
            <w:pPr>
              <w:rPr>
                <w:sz w:val="18"/>
                <w:szCs w:val="18"/>
              </w:rPr>
            </w:pPr>
            <w:r w:rsidRPr="00947FF4">
              <w:rPr>
                <w:sz w:val="18"/>
                <w:szCs w:val="18"/>
                <w:u w:val="single"/>
              </w:rPr>
              <w:t>Introductory Thermal Concept Evaluation</w:t>
            </w:r>
            <w:r w:rsidRPr="00947FF4">
              <w:rPr>
                <w:sz w:val="18"/>
                <w:szCs w:val="18"/>
              </w:rPr>
              <w:t xml:space="preserve"> </w:t>
            </w:r>
          </w:p>
          <w:p w:rsidR="00947FF4" w:rsidRPr="00947FF4" w:rsidRDefault="00947FF4" w:rsidP="009D2103">
            <w:pPr>
              <w:pStyle w:val="ListParagraph"/>
              <w:numPr>
                <w:ilvl w:val="0"/>
                <w:numId w:val="11"/>
              </w:numPr>
              <w:rPr>
                <w:sz w:val="18"/>
                <w:szCs w:val="18"/>
              </w:rPr>
            </w:pPr>
            <w:r w:rsidRPr="00947FF4">
              <w:rPr>
                <w:rFonts w:ascii="Times New Roman" w:hAnsi="Times New Roman" w:cs="Times New Roman"/>
                <w:sz w:val="18"/>
                <w:szCs w:val="18"/>
              </w:rPr>
              <w:t>Applied pressure effects boiling points *</w:t>
            </w:r>
          </w:p>
          <w:p w:rsidR="00947FF4" w:rsidRPr="00947FF4" w:rsidRDefault="00947FF4" w:rsidP="009D2103">
            <w:pPr>
              <w:pStyle w:val="ListParagraph"/>
              <w:numPr>
                <w:ilvl w:val="0"/>
                <w:numId w:val="11"/>
              </w:numPr>
              <w:rPr>
                <w:sz w:val="18"/>
                <w:szCs w:val="18"/>
              </w:rPr>
            </w:pPr>
            <w:r w:rsidRPr="00947FF4">
              <w:rPr>
                <w:rFonts w:ascii="Times New Roman" w:hAnsi="Times New Roman" w:cs="Times New Roman"/>
                <w:sz w:val="18"/>
                <w:szCs w:val="18"/>
              </w:rPr>
              <w:t>Direction of heat flow *</w:t>
            </w:r>
          </w:p>
          <w:p w:rsidR="00947FF4" w:rsidRPr="00947FF4" w:rsidRDefault="00947FF4" w:rsidP="009D2103">
            <w:pPr>
              <w:pStyle w:val="ListParagraph"/>
              <w:numPr>
                <w:ilvl w:val="0"/>
                <w:numId w:val="11"/>
              </w:numPr>
              <w:rPr>
                <w:sz w:val="18"/>
                <w:szCs w:val="18"/>
              </w:rPr>
            </w:pPr>
            <w:r w:rsidRPr="00947FF4">
              <w:rPr>
                <w:rFonts w:ascii="Times New Roman" w:hAnsi="Times New Roman" w:cs="Times New Roman"/>
                <w:sz w:val="18"/>
                <w:szCs w:val="18"/>
              </w:rPr>
              <w:t>Temperature differences effect heat flow rate *</w:t>
            </w:r>
          </w:p>
          <w:p w:rsidR="00947FF4" w:rsidRPr="00947FF4" w:rsidRDefault="00947FF4" w:rsidP="009D2103">
            <w:pPr>
              <w:pStyle w:val="ListParagraph"/>
              <w:numPr>
                <w:ilvl w:val="0"/>
                <w:numId w:val="11"/>
              </w:numPr>
              <w:rPr>
                <w:sz w:val="18"/>
                <w:szCs w:val="18"/>
              </w:rPr>
            </w:pPr>
            <w:r w:rsidRPr="00947FF4">
              <w:rPr>
                <w:rFonts w:ascii="Times New Roman" w:hAnsi="Times New Roman" w:cs="Times New Roman"/>
                <w:sz w:val="18"/>
                <w:szCs w:val="18"/>
              </w:rPr>
              <w:t>Concept of a lowest possible temperature *</w:t>
            </w:r>
          </w:p>
        </w:tc>
        <w:tc>
          <w:tcPr>
            <w:tcW w:w="2508" w:type="dxa"/>
          </w:tcPr>
          <w:p w:rsidR="00947FF4" w:rsidRPr="00947FF4" w:rsidRDefault="00947FF4" w:rsidP="00A31482">
            <w:pPr>
              <w:rPr>
                <w:sz w:val="18"/>
                <w:szCs w:val="18"/>
              </w:rPr>
            </w:pPr>
            <w:r w:rsidRPr="00947FF4">
              <w:rPr>
                <w:sz w:val="18"/>
                <w:szCs w:val="18"/>
                <w:u w:val="single"/>
              </w:rPr>
              <w:t>Introductory Thermal Concept Evaluation</w:t>
            </w:r>
          </w:p>
          <w:p w:rsidR="00947FF4" w:rsidRPr="00887F02" w:rsidRDefault="00887F02" w:rsidP="002B0FA6">
            <w:pPr>
              <w:pStyle w:val="ListParagraph"/>
              <w:numPr>
                <w:ilvl w:val="0"/>
                <w:numId w:val="6"/>
              </w:numPr>
              <w:rPr>
                <w:sz w:val="18"/>
                <w:szCs w:val="18"/>
              </w:rPr>
            </w:pPr>
            <w:r w:rsidRPr="00887F02">
              <w:rPr>
                <w:rFonts w:ascii="Times New Roman" w:hAnsi="Times New Roman" w:cs="Times New Roman"/>
                <w:sz w:val="18"/>
                <w:szCs w:val="18"/>
              </w:rPr>
              <w:t>Most</w:t>
            </w:r>
            <w:r>
              <w:rPr>
                <w:rFonts w:ascii="Times New Roman" w:hAnsi="Times New Roman" w:cs="Times New Roman"/>
                <w:sz w:val="18"/>
                <w:szCs w:val="18"/>
              </w:rPr>
              <w:t xml:space="preserve"> likely temperature of ice in freezer </w:t>
            </w:r>
          </w:p>
          <w:p w:rsidR="00887F02" w:rsidRPr="00887F02" w:rsidRDefault="00887F02" w:rsidP="002B0FA6">
            <w:pPr>
              <w:pStyle w:val="ListParagraph"/>
              <w:numPr>
                <w:ilvl w:val="0"/>
                <w:numId w:val="6"/>
              </w:numPr>
              <w:rPr>
                <w:sz w:val="18"/>
                <w:szCs w:val="18"/>
              </w:rPr>
            </w:pPr>
            <w:r>
              <w:rPr>
                <w:rFonts w:ascii="Times New Roman" w:hAnsi="Times New Roman" w:cs="Times New Roman"/>
                <w:sz w:val="18"/>
                <w:szCs w:val="18"/>
              </w:rPr>
              <w:t>Ice-water equilibrium temperature</w:t>
            </w:r>
          </w:p>
          <w:p w:rsidR="00887F02" w:rsidRPr="00887F02" w:rsidRDefault="00887F02" w:rsidP="002B0FA6">
            <w:pPr>
              <w:pStyle w:val="ListParagraph"/>
              <w:numPr>
                <w:ilvl w:val="0"/>
                <w:numId w:val="6"/>
              </w:numPr>
              <w:rPr>
                <w:rFonts w:ascii="Times New Roman" w:hAnsi="Times New Roman" w:cs="Times New Roman"/>
                <w:sz w:val="18"/>
                <w:szCs w:val="18"/>
              </w:rPr>
            </w:pPr>
            <w:r w:rsidRPr="00887F02">
              <w:rPr>
                <w:rFonts w:ascii="Times New Roman" w:hAnsi="Times New Roman" w:cs="Times New Roman"/>
                <w:sz w:val="18"/>
                <w:szCs w:val="18"/>
              </w:rPr>
              <w:t>Rate of heat conduction as a function of temperature</w:t>
            </w:r>
          </w:p>
          <w:p w:rsidR="00887F02" w:rsidRPr="00967E66" w:rsidRDefault="00887F02" w:rsidP="002B0FA6">
            <w:pPr>
              <w:pStyle w:val="ListParagraph"/>
              <w:numPr>
                <w:ilvl w:val="0"/>
                <w:numId w:val="6"/>
              </w:numPr>
              <w:rPr>
                <w:sz w:val="18"/>
                <w:szCs w:val="18"/>
              </w:rPr>
            </w:pPr>
            <w:r>
              <w:rPr>
                <w:rFonts w:ascii="Times New Roman" w:hAnsi="Times New Roman" w:cs="Times New Roman"/>
                <w:sz w:val="18"/>
                <w:szCs w:val="18"/>
              </w:rPr>
              <w:t>Concept of thermal equilibrium</w:t>
            </w:r>
          </w:p>
          <w:p w:rsidR="00967E66" w:rsidRPr="00947FF4" w:rsidRDefault="00967E66" w:rsidP="00967E66">
            <w:pPr>
              <w:pStyle w:val="ListParagraph"/>
              <w:numPr>
                <w:ilvl w:val="0"/>
                <w:numId w:val="11"/>
              </w:numPr>
              <w:rPr>
                <w:sz w:val="18"/>
                <w:szCs w:val="18"/>
              </w:rPr>
            </w:pPr>
            <w:r w:rsidRPr="00947FF4">
              <w:rPr>
                <w:rFonts w:ascii="Times New Roman" w:hAnsi="Times New Roman" w:cs="Times New Roman"/>
                <w:sz w:val="18"/>
                <w:szCs w:val="18"/>
              </w:rPr>
              <w:t>Applied pressure effects boiling points *</w:t>
            </w:r>
          </w:p>
          <w:p w:rsidR="00967E66" w:rsidRPr="00947FF4" w:rsidRDefault="00967E66" w:rsidP="00967E66">
            <w:pPr>
              <w:pStyle w:val="ListParagraph"/>
              <w:numPr>
                <w:ilvl w:val="0"/>
                <w:numId w:val="11"/>
              </w:numPr>
              <w:rPr>
                <w:sz w:val="18"/>
                <w:szCs w:val="18"/>
              </w:rPr>
            </w:pPr>
            <w:r w:rsidRPr="00947FF4">
              <w:rPr>
                <w:rFonts w:ascii="Times New Roman" w:hAnsi="Times New Roman" w:cs="Times New Roman"/>
                <w:sz w:val="18"/>
                <w:szCs w:val="18"/>
              </w:rPr>
              <w:t>Direction of heat flow *</w:t>
            </w:r>
          </w:p>
          <w:p w:rsidR="00967E66" w:rsidRPr="00947FF4" w:rsidRDefault="00967E66" w:rsidP="00967E66">
            <w:pPr>
              <w:pStyle w:val="ListParagraph"/>
              <w:numPr>
                <w:ilvl w:val="0"/>
                <w:numId w:val="11"/>
              </w:numPr>
              <w:rPr>
                <w:sz w:val="18"/>
                <w:szCs w:val="18"/>
              </w:rPr>
            </w:pPr>
            <w:r w:rsidRPr="00947FF4">
              <w:rPr>
                <w:rFonts w:ascii="Times New Roman" w:hAnsi="Times New Roman" w:cs="Times New Roman"/>
                <w:sz w:val="18"/>
                <w:szCs w:val="18"/>
              </w:rPr>
              <w:t>Temperature differences effect heat flow rate *</w:t>
            </w:r>
          </w:p>
          <w:p w:rsidR="00967E66" w:rsidRPr="00887F02" w:rsidRDefault="00967E66" w:rsidP="00967E66">
            <w:pPr>
              <w:pStyle w:val="ListParagraph"/>
              <w:numPr>
                <w:ilvl w:val="0"/>
                <w:numId w:val="6"/>
              </w:numPr>
              <w:rPr>
                <w:sz w:val="18"/>
                <w:szCs w:val="18"/>
              </w:rPr>
            </w:pPr>
            <w:r w:rsidRPr="00947FF4">
              <w:rPr>
                <w:rFonts w:ascii="Times New Roman" w:hAnsi="Times New Roman" w:cs="Times New Roman"/>
                <w:sz w:val="18"/>
                <w:szCs w:val="18"/>
              </w:rPr>
              <w:t>Concept of a lowest possible temperature *</w:t>
            </w:r>
          </w:p>
        </w:tc>
      </w:tr>
    </w:tbl>
    <w:p w:rsidR="008C65FB" w:rsidRPr="00947FF4" w:rsidRDefault="00947FF4">
      <w:pPr>
        <w:rPr>
          <w:sz w:val="16"/>
          <w:szCs w:val="16"/>
        </w:rPr>
      </w:pPr>
      <w:r w:rsidRPr="00947FF4">
        <w:rPr>
          <w:sz w:val="16"/>
          <w:szCs w:val="16"/>
        </w:rPr>
        <w:t>* indicates topic was missed in multiple semesters</w:t>
      </w:r>
    </w:p>
    <w:p w:rsidR="00947FF4" w:rsidRDefault="00947FF4" w:rsidP="00672652"/>
    <w:p w:rsidR="008059D1" w:rsidRDefault="000D0979">
      <w:r>
        <w:t>To address concerns, s</w:t>
      </w:r>
      <w:r w:rsidR="00672652">
        <w:t xml:space="preserve">tudents were encouraged to </w:t>
      </w:r>
      <w:r w:rsidR="00EA513C">
        <w:t>utilize the</w:t>
      </w:r>
      <w:r w:rsidR="00672652">
        <w:t xml:space="preserve"> study guides for the mid-term exams and the final.  </w:t>
      </w:r>
      <w:r w:rsidR="00EA513C">
        <w:t xml:space="preserve">Demonstrations and science videos were </w:t>
      </w:r>
      <w:r w:rsidR="00170F19">
        <w:t>introduced</w:t>
      </w:r>
      <w:r w:rsidR="00EA513C">
        <w:t xml:space="preserve"> to illustrate concepts and to </w:t>
      </w:r>
      <w:r w:rsidR="00672652">
        <w:t>increase student interest</w:t>
      </w:r>
      <w:r w:rsidR="001C63DA">
        <w:t>, although improvements have not coincided with these changes.</w:t>
      </w:r>
      <w:r w:rsidR="00947FF4">
        <w:t xml:space="preserve">  The </w:t>
      </w:r>
      <w:r w:rsidR="00961E1D" w:rsidRPr="00CE0A29">
        <w:t>Thermal Concept Evaluation</w:t>
      </w:r>
      <w:r w:rsidR="001C63DA">
        <w:t>, which is currently</w:t>
      </w:r>
      <w:r w:rsidR="00961E1D" w:rsidRPr="00CE0A29">
        <w:t xml:space="preserve"> </w:t>
      </w:r>
      <w:r w:rsidR="001C63DA">
        <w:t xml:space="preserve">being used as </w:t>
      </w:r>
      <w:r w:rsidR="00947FF4">
        <w:t xml:space="preserve">a pre and post- test </w:t>
      </w:r>
      <w:r w:rsidR="00961E1D" w:rsidRPr="00CE0A29">
        <w:t>assessment</w:t>
      </w:r>
      <w:r w:rsidR="001C63DA">
        <w:t xml:space="preserve">, </w:t>
      </w:r>
      <w:r w:rsidR="00961E1D" w:rsidRPr="00CE0A29">
        <w:t xml:space="preserve">has only been given in other colleges to </w:t>
      </w:r>
      <w:r w:rsidR="00191BD9" w:rsidRPr="00CE0A29">
        <w:t xml:space="preserve">College or General Physics students. </w:t>
      </w:r>
      <w:r w:rsidR="00961E1D" w:rsidRPr="00CE0A29">
        <w:t xml:space="preserve"> </w:t>
      </w:r>
      <w:r w:rsidR="001C63DA">
        <w:t xml:space="preserve">This exam </w:t>
      </w:r>
      <w:r w:rsidR="00CE0A29">
        <w:t>will</w:t>
      </w:r>
      <w:r w:rsidR="00191BD9" w:rsidRPr="00CE0A29">
        <w:t xml:space="preserve"> </w:t>
      </w:r>
      <w:r w:rsidR="001C63DA">
        <w:t xml:space="preserve">be </w:t>
      </w:r>
      <w:r w:rsidR="00191BD9" w:rsidRPr="00CE0A29">
        <w:t>phase</w:t>
      </w:r>
      <w:r w:rsidR="001C63DA">
        <w:t>d-out</w:t>
      </w:r>
      <w:r w:rsidR="00191BD9" w:rsidRPr="00CE0A29">
        <w:t xml:space="preserve">.  </w:t>
      </w:r>
      <w:r w:rsidR="00961E1D" w:rsidRPr="00CE0A29">
        <w:t>The pre-requisite of intermediate algebra appears to be adequate mathematical prepa</w:t>
      </w:r>
      <w:r w:rsidR="00191BD9" w:rsidRPr="00CE0A29">
        <w:t xml:space="preserve">ration for most topics covered in the course and coincides with the pre-requisites at the transfer institutions. </w:t>
      </w:r>
    </w:p>
    <w:p w:rsidR="00C22DB5" w:rsidRDefault="00C22DB5"/>
    <w:p w:rsidR="00847626" w:rsidRDefault="00847626">
      <w:pPr>
        <w:rPr>
          <w:b/>
          <w:u w:val="single"/>
        </w:rPr>
      </w:pPr>
    </w:p>
    <w:p w:rsidR="00C22DB5" w:rsidRPr="001C63DA" w:rsidRDefault="00CE0A29">
      <w:pPr>
        <w:rPr>
          <w:b/>
          <w:u w:val="single"/>
        </w:rPr>
      </w:pPr>
      <w:r w:rsidRPr="001C63DA">
        <w:rPr>
          <w:b/>
          <w:u w:val="single"/>
        </w:rPr>
        <w:lastRenderedPageBreak/>
        <w:t>Improvement for the 2010-2011 Academic Year</w:t>
      </w:r>
    </w:p>
    <w:p w:rsidR="004434EA" w:rsidRDefault="004434EA">
      <w:pPr>
        <w:rPr>
          <w:b/>
        </w:rPr>
      </w:pPr>
    </w:p>
    <w:p w:rsidR="00C444E7" w:rsidRDefault="001C63DA">
      <w:r>
        <w:t>M</w:t>
      </w:r>
      <w:r w:rsidR="000C553B">
        <w:t>ore detailed study guides will be developed</w:t>
      </w:r>
      <w:r>
        <w:t xml:space="preserve"> to assist students in preparing for examinations</w:t>
      </w:r>
      <w:r w:rsidR="000C553B">
        <w:t xml:space="preserve">.  </w:t>
      </w:r>
      <w:r w:rsidR="00423C65">
        <w:t>More homework /quizzes will be developed of a conceptual nature to give students more practice in applying physical concepts</w:t>
      </w:r>
      <w:r w:rsidR="000C553B">
        <w:t xml:space="preserve"> to a slightly different situation</w:t>
      </w:r>
      <w:r w:rsidR="00423C65">
        <w:t xml:space="preserve">.    </w:t>
      </w:r>
    </w:p>
    <w:p w:rsidR="00C444E7" w:rsidRDefault="00C444E7"/>
    <w:p w:rsidR="00D2230F" w:rsidRDefault="00312C3C">
      <w:r>
        <w:t xml:space="preserve">A </w:t>
      </w:r>
      <w:r w:rsidR="001C63DA">
        <w:t>departmental pre-test</w:t>
      </w:r>
      <w:r w:rsidR="00EA4194">
        <w:t xml:space="preserve"> will be developed </w:t>
      </w:r>
      <w:r w:rsidR="00423C65">
        <w:t>(covering more specific topics</w:t>
      </w:r>
      <w:r w:rsidR="00EA4194">
        <w:t>)</w:t>
      </w:r>
      <w:r w:rsidR="001C63DA">
        <w:t xml:space="preserve"> and administered during the first week of class, and then be followed</w:t>
      </w:r>
      <w:r w:rsidR="00423C65">
        <w:t xml:space="preserve"> </w:t>
      </w:r>
      <w:r w:rsidR="001C63DA">
        <w:t xml:space="preserve">by a departmental post-test </w:t>
      </w:r>
      <w:r w:rsidR="00EA4194">
        <w:t xml:space="preserve">given </w:t>
      </w:r>
      <w:r w:rsidR="001C63DA">
        <w:t>at the end of the semester</w:t>
      </w:r>
      <w:r w:rsidR="00EA4194">
        <w:t xml:space="preserve"> to track particular topics of difficulty.  Further research into the literature has indicated the Thermal Concept Evaluation, although non-mathematical, is not generally used by the physics community in physical science courses. </w:t>
      </w:r>
      <w:r w:rsidR="0087493C">
        <w:t xml:space="preserve">The department will continue to research assessment practices.  </w:t>
      </w:r>
      <w:r w:rsidR="00D2230F">
        <w:t xml:space="preserve">Beyond the Solar System </w:t>
      </w:r>
      <w:r w:rsidR="0087493C">
        <w:t xml:space="preserve">will return as an independent assessment.  The </w:t>
      </w:r>
      <w:r w:rsidR="00D2230F">
        <w:t>test make</w:t>
      </w:r>
      <w:r w:rsidR="0087493C">
        <w:t>s</w:t>
      </w:r>
      <w:r w:rsidR="00D2230F">
        <w:t xml:space="preserve"> use of specific facts, which will be emphasi</w:t>
      </w:r>
      <w:r w:rsidR="0087493C">
        <w:t>zed</w:t>
      </w:r>
      <w:r w:rsidR="00D2230F">
        <w:t xml:space="preserve"> in class</w:t>
      </w:r>
      <w:r w:rsidR="0087493C">
        <w:t>, as well as allowing data to be tracked and evaluated to identify strengths and weaknesses.</w:t>
      </w:r>
      <w:r w:rsidR="00D2230F">
        <w:t xml:space="preserve">  </w:t>
      </w:r>
    </w:p>
    <w:p w:rsidR="00D2230F" w:rsidRDefault="00D2230F"/>
    <w:p w:rsidR="0087493C" w:rsidRDefault="0087493C">
      <w:pPr>
        <w:rPr>
          <w:b/>
          <w:i/>
          <w:color w:val="000000" w:themeColor="text1"/>
        </w:rPr>
      </w:pPr>
      <w:r w:rsidRPr="008F762F">
        <w:rPr>
          <w:b/>
          <w:i/>
          <w:color w:val="000000" w:themeColor="text1"/>
        </w:rPr>
        <w:t>Teaching strategy/improvement</w:t>
      </w:r>
    </w:p>
    <w:p w:rsidR="008A342A" w:rsidRDefault="008A342A">
      <w:pPr>
        <w:rPr>
          <w:b/>
          <w:i/>
          <w:color w:val="000000" w:themeColor="text1"/>
        </w:rPr>
      </w:pPr>
    </w:p>
    <w:p w:rsidR="008A342A" w:rsidRDefault="008A342A" w:rsidP="008A342A">
      <w:pPr>
        <w:pStyle w:val="ListParagraph"/>
        <w:numPr>
          <w:ilvl w:val="0"/>
          <w:numId w:val="6"/>
        </w:numPr>
        <w:rPr>
          <w:rFonts w:ascii="Times New Roman" w:hAnsi="Times New Roman" w:cs="Times New Roman"/>
          <w:color w:val="000000" w:themeColor="text1"/>
        </w:rPr>
      </w:pPr>
      <w:r w:rsidRPr="008A342A">
        <w:rPr>
          <w:rFonts w:ascii="Times New Roman" w:hAnsi="Times New Roman" w:cs="Times New Roman"/>
          <w:color w:val="000000" w:themeColor="text1"/>
        </w:rPr>
        <w:t>Review</w:t>
      </w:r>
      <w:r>
        <w:rPr>
          <w:rFonts w:ascii="Times New Roman" w:hAnsi="Times New Roman" w:cs="Times New Roman"/>
          <w:color w:val="000000" w:themeColor="text1"/>
        </w:rPr>
        <w:t xml:space="preserve"> other physical science textbooks</w:t>
      </w:r>
    </w:p>
    <w:p w:rsidR="008A342A" w:rsidRDefault="008A342A" w:rsidP="008A342A">
      <w:pPr>
        <w:pStyle w:val="ListParagraph"/>
        <w:numPr>
          <w:ilvl w:val="0"/>
          <w:numId w:val="6"/>
        </w:numPr>
        <w:rPr>
          <w:rFonts w:ascii="Times New Roman" w:hAnsi="Times New Roman" w:cs="Times New Roman"/>
          <w:color w:val="000000" w:themeColor="text1"/>
        </w:rPr>
      </w:pPr>
      <w:r>
        <w:rPr>
          <w:rFonts w:ascii="Times New Roman" w:hAnsi="Times New Roman" w:cs="Times New Roman"/>
          <w:color w:val="000000" w:themeColor="text1"/>
        </w:rPr>
        <w:t>Review physical science computer software</w:t>
      </w:r>
    </w:p>
    <w:p w:rsidR="008A342A" w:rsidRPr="008A342A" w:rsidRDefault="008A342A" w:rsidP="008A342A">
      <w:pPr>
        <w:pStyle w:val="ListParagraph"/>
        <w:numPr>
          <w:ilvl w:val="0"/>
          <w:numId w:val="6"/>
        </w:numPr>
        <w:rPr>
          <w:rFonts w:ascii="Times New Roman" w:hAnsi="Times New Roman" w:cs="Times New Roman"/>
          <w:color w:val="000000" w:themeColor="text1"/>
        </w:rPr>
      </w:pPr>
      <w:r>
        <w:rPr>
          <w:rFonts w:ascii="Times New Roman" w:hAnsi="Times New Roman" w:cs="Times New Roman"/>
          <w:color w:val="000000" w:themeColor="text1"/>
        </w:rPr>
        <w:t xml:space="preserve">Partition class-time with varying learning activities </w:t>
      </w:r>
    </w:p>
    <w:p w:rsidR="0010370D" w:rsidRDefault="0010370D"/>
    <w:p w:rsidR="000C553B" w:rsidRDefault="0087493C">
      <w:pPr>
        <w:rPr>
          <w:b/>
          <w:i/>
          <w:color w:val="000000" w:themeColor="text1"/>
        </w:rPr>
      </w:pPr>
      <w:r w:rsidRPr="008F762F">
        <w:rPr>
          <w:b/>
          <w:i/>
          <w:color w:val="000000" w:themeColor="text1"/>
        </w:rPr>
        <w:t xml:space="preserve">Increasing enrollment strategy </w:t>
      </w:r>
    </w:p>
    <w:p w:rsidR="008A342A" w:rsidRDefault="008A342A">
      <w:pPr>
        <w:rPr>
          <w:b/>
          <w:i/>
          <w:color w:val="000000" w:themeColor="text1"/>
        </w:rPr>
      </w:pPr>
    </w:p>
    <w:p w:rsidR="008A342A" w:rsidRPr="008A342A" w:rsidRDefault="008A342A">
      <w:pPr>
        <w:rPr>
          <w:color w:val="000000" w:themeColor="text1"/>
        </w:rPr>
      </w:pPr>
      <w:r>
        <w:rPr>
          <w:color w:val="000000" w:themeColor="text1"/>
        </w:rPr>
        <w:t xml:space="preserve">It is felt that admission or guidance counselors may not be aware of physical science classes, so contact will be made with the counselors to </w:t>
      </w:r>
      <w:r w:rsidR="00DA1B8E">
        <w:rPr>
          <w:color w:val="000000" w:themeColor="text1"/>
        </w:rPr>
        <w:t xml:space="preserve">help </w:t>
      </w:r>
      <w:r>
        <w:rPr>
          <w:color w:val="000000" w:themeColor="text1"/>
        </w:rPr>
        <w:t xml:space="preserve">increase enrollment.  Also, the scheduled </w:t>
      </w:r>
      <w:r w:rsidR="00DA1B8E">
        <w:rPr>
          <w:color w:val="000000" w:themeColor="text1"/>
        </w:rPr>
        <w:t xml:space="preserve">class </w:t>
      </w:r>
      <w:r>
        <w:rPr>
          <w:color w:val="000000" w:themeColor="text1"/>
        </w:rPr>
        <w:t>times may not be desirable for stud</w:t>
      </w:r>
      <w:r w:rsidR="00DA1B8E">
        <w:rPr>
          <w:color w:val="000000" w:themeColor="text1"/>
        </w:rPr>
        <w:t>ents, so an effort will be made to re-schedule class times.</w:t>
      </w:r>
    </w:p>
    <w:p w:rsidR="0010370D" w:rsidRPr="004434EA" w:rsidRDefault="0010370D"/>
    <w:p w:rsidR="00C22DB5" w:rsidRDefault="00C22DB5"/>
    <w:p w:rsidR="00C22DB5" w:rsidRDefault="00C22DB5"/>
    <w:p w:rsidR="00C22DB5" w:rsidRDefault="00C22DB5"/>
    <w:p w:rsidR="00C22DB5" w:rsidRDefault="00C22DB5"/>
    <w:p w:rsidR="00C22DB5" w:rsidRDefault="00C22DB5"/>
    <w:p w:rsidR="00C22DB5" w:rsidRDefault="00C22DB5"/>
    <w:p w:rsidR="00C22DB5" w:rsidRDefault="00C22DB5"/>
    <w:p w:rsidR="00C22DB5" w:rsidRDefault="00C22DB5"/>
    <w:p w:rsidR="00C22DB5" w:rsidRDefault="00C22DB5"/>
    <w:p w:rsidR="00C22DB5" w:rsidRDefault="00C22DB5"/>
    <w:p w:rsidR="00C22DB5" w:rsidRDefault="00C22DB5"/>
    <w:p w:rsidR="00C22DB5" w:rsidRDefault="00C22DB5"/>
    <w:sectPr w:rsidR="00C22DB5" w:rsidSect="00554CB6">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395" w:rsidRDefault="00972395">
      <w:r>
        <w:separator/>
      </w:r>
    </w:p>
  </w:endnote>
  <w:endnote w:type="continuationSeparator" w:id="0">
    <w:p w:rsidR="00972395" w:rsidRDefault="009723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E95" w:rsidRDefault="00E83F6F" w:rsidP="00F41920">
    <w:pPr>
      <w:pStyle w:val="Footer"/>
      <w:framePr w:wrap="around" w:vAnchor="text" w:hAnchor="margin" w:xAlign="right" w:y="1"/>
      <w:rPr>
        <w:rStyle w:val="PageNumber"/>
      </w:rPr>
    </w:pPr>
    <w:r>
      <w:rPr>
        <w:rStyle w:val="PageNumber"/>
      </w:rPr>
      <w:fldChar w:fldCharType="begin"/>
    </w:r>
    <w:r w:rsidR="00CA6E95">
      <w:rPr>
        <w:rStyle w:val="PageNumber"/>
      </w:rPr>
      <w:instrText xml:space="preserve">PAGE  </w:instrText>
    </w:r>
    <w:r>
      <w:rPr>
        <w:rStyle w:val="PageNumber"/>
      </w:rPr>
      <w:fldChar w:fldCharType="end"/>
    </w:r>
  </w:p>
  <w:p w:rsidR="00CA6E95" w:rsidRDefault="00CA6E95" w:rsidP="00C95B6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E95" w:rsidRDefault="00E83F6F" w:rsidP="00F41920">
    <w:pPr>
      <w:pStyle w:val="Footer"/>
      <w:framePr w:wrap="around" w:vAnchor="text" w:hAnchor="margin" w:xAlign="right" w:y="1"/>
      <w:rPr>
        <w:rStyle w:val="PageNumber"/>
      </w:rPr>
    </w:pPr>
    <w:r>
      <w:rPr>
        <w:rStyle w:val="PageNumber"/>
      </w:rPr>
      <w:fldChar w:fldCharType="begin"/>
    </w:r>
    <w:r w:rsidR="00CA6E95">
      <w:rPr>
        <w:rStyle w:val="PageNumber"/>
      </w:rPr>
      <w:instrText xml:space="preserve">PAGE  </w:instrText>
    </w:r>
    <w:r>
      <w:rPr>
        <w:rStyle w:val="PageNumber"/>
      </w:rPr>
      <w:fldChar w:fldCharType="separate"/>
    </w:r>
    <w:r w:rsidR="00983AD4">
      <w:rPr>
        <w:rStyle w:val="PageNumber"/>
        <w:noProof/>
      </w:rPr>
      <w:t>6</w:t>
    </w:r>
    <w:r>
      <w:rPr>
        <w:rStyle w:val="PageNumber"/>
      </w:rPr>
      <w:fldChar w:fldCharType="end"/>
    </w:r>
  </w:p>
  <w:p w:rsidR="00CA6E95" w:rsidRDefault="00CA6E95" w:rsidP="00C95B6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395" w:rsidRDefault="00972395">
      <w:r>
        <w:separator/>
      </w:r>
    </w:p>
  </w:footnote>
  <w:footnote w:type="continuationSeparator" w:id="0">
    <w:p w:rsidR="00972395" w:rsidRDefault="009723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3DE7"/>
    <w:multiLevelType w:val="hybridMultilevel"/>
    <w:tmpl w:val="45F09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B41CD0"/>
    <w:multiLevelType w:val="hybridMultilevel"/>
    <w:tmpl w:val="4022B77E"/>
    <w:lvl w:ilvl="0" w:tplc="7F2ACB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3D5AFB"/>
    <w:multiLevelType w:val="hybridMultilevel"/>
    <w:tmpl w:val="3A9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E058FF"/>
    <w:multiLevelType w:val="hybridMultilevel"/>
    <w:tmpl w:val="CA64D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0BE57BF"/>
    <w:multiLevelType w:val="hybridMultilevel"/>
    <w:tmpl w:val="E6A62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311730"/>
    <w:multiLevelType w:val="hybridMultilevel"/>
    <w:tmpl w:val="9B7A3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6B3655C"/>
    <w:multiLevelType w:val="hybridMultilevel"/>
    <w:tmpl w:val="77AEB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A135A42"/>
    <w:multiLevelType w:val="hybridMultilevel"/>
    <w:tmpl w:val="5C8A78C0"/>
    <w:lvl w:ilvl="0" w:tplc="7F2ACBB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76C73D1"/>
    <w:multiLevelType w:val="hybridMultilevel"/>
    <w:tmpl w:val="7C400628"/>
    <w:lvl w:ilvl="0" w:tplc="7F2ACB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0B6F66"/>
    <w:multiLevelType w:val="hybridMultilevel"/>
    <w:tmpl w:val="ABF20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505A52"/>
    <w:multiLevelType w:val="hybridMultilevel"/>
    <w:tmpl w:val="7F4854F8"/>
    <w:lvl w:ilvl="0" w:tplc="7F2ACB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BE5825"/>
    <w:multiLevelType w:val="hybridMultilevel"/>
    <w:tmpl w:val="74DC7BC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abstractNumId w:val="0"/>
  </w:num>
  <w:num w:numId="2">
    <w:abstractNumId w:val="9"/>
  </w:num>
  <w:num w:numId="3">
    <w:abstractNumId w:val="2"/>
  </w:num>
  <w:num w:numId="4">
    <w:abstractNumId w:val="5"/>
  </w:num>
  <w:num w:numId="5">
    <w:abstractNumId w:val="4"/>
  </w:num>
  <w:num w:numId="6">
    <w:abstractNumId w:val="3"/>
  </w:num>
  <w:num w:numId="7">
    <w:abstractNumId w:val="6"/>
  </w:num>
  <w:num w:numId="8">
    <w:abstractNumId w:val="11"/>
  </w:num>
  <w:num w:numId="9">
    <w:abstractNumId w:val="8"/>
  </w:num>
  <w:num w:numId="10">
    <w:abstractNumId w:val="1"/>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0"/>
  <w:stylePaneFormatFilter w:val="3F01"/>
  <w:defaultTabStop w:val="720"/>
  <w:characterSpacingControl w:val="doNotCompress"/>
  <w:footnotePr>
    <w:footnote w:id="-1"/>
    <w:footnote w:id="0"/>
  </w:footnotePr>
  <w:endnotePr>
    <w:endnote w:id="-1"/>
    <w:endnote w:id="0"/>
  </w:endnotePr>
  <w:compat/>
  <w:rsids>
    <w:rsidRoot w:val="00A84A11"/>
    <w:rsid w:val="000633E3"/>
    <w:rsid w:val="00091CB1"/>
    <w:rsid w:val="00097422"/>
    <w:rsid w:val="000B0088"/>
    <w:rsid w:val="000B255A"/>
    <w:rsid w:val="000B2E68"/>
    <w:rsid w:val="000C3FF0"/>
    <w:rsid w:val="000C553B"/>
    <w:rsid w:val="000D0979"/>
    <w:rsid w:val="000D21F1"/>
    <w:rsid w:val="000D39E1"/>
    <w:rsid w:val="0010370D"/>
    <w:rsid w:val="0012684D"/>
    <w:rsid w:val="00142F8E"/>
    <w:rsid w:val="0014742B"/>
    <w:rsid w:val="001517B6"/>
    <w:rsid w:val="00152AD2"/>
    <w:rsid w:val="00170F19"/>
    <w:rsid w:val="00180478"/>
    <w:rsid w:val="00181155"/>
    <w:rsid w:val="00191BD9"/>
    <w:rsid w:val="001B330B"/>
    <w:rsid w:val="001C20B5"/>
    <w:rsid w:val="001C63DA"/>
    <w:rsid w:val="001D6D6C"/>
    <w:rsid w:val="001F0EB5"/>
    <w:rsid w:val="001F265E"/>
    <w:rsid w:val="0023466A"/>
    <w:rsid w:val="00244BAF"/>
    <w:rsid w:val="002522DE"/>
    <w:rsid w:val="00292B8A"/>
    <w:rsid w:val="00293C52"/>
    <w:rsid w:val="00294F16"/>
    <w:rsid w:val="00295BEF"/>
    <w:rsid w:val="002B0FA6"/>
    <w:rsid w:val="002E4072"/>
    <w:rsid w:val="00312C3C"/>
    <w:rsid w:val="003151E4"/>
    <w:rsid w:val="0031707D"/>
    <w:rsid w:val="00325C27"/>
    <w:rsid w:val="00327B79"/>
    <w:rsid w:val="00357459"/>
    <w:rsid w:val="00382BB6"/>
    <w:rsid w:val="003A161D"/>
    <w:rsid w:val="003C09EF"/>
    <w:rsid w:val="003C50D2"/>
    <w:rsid w:val="003C53ED"/>
    <w:rsid w:val="003D6D4C"/>
    <w:rsid w:val="003F6D40"/>
    <w:rsid w:val="00407226"/>
    <w:rsid w:val="00423C65"/>
    <w:rsid w:val="0042483B"/>
    <w:rsid w:val="00430B29"/>
    <w:rsid w:val="004434EA"/>
    <w:rsid w:val="004445B3"/>
    <w:rsid w:val="00444ABB"/>
    <w:rsid w:val="0047285D"/>
    <w:rsid w:val="004770E9"/>
    <w:rsid w:val="00494333"/>
    <w:rsid w:val="004961D0"/>
    <w:rsid w:val="004A61ED"/>
    <w:rsid w:val="004B0349"/>
    <w:rsid w:val="004C18BA"/>
    <w:rsid w:val="004C4235"/>
    <w:rsid w:val="004E6E4C"/>
    <w:rsid w:val="004F00DE"/>
    <w:rsid w:val="00522BFA"/>
    <w:rsid w:val="005256D0"/>
    <w:rsid w:val="005257A6"/>
    <w:rsid w:val="00545A5E"/>
    <w:rsid w:val="00551D89"/>
    <w:rsid w:val="00554CB6"/>
    <w:rsid w:val="005601B0"/>
    <w:rsid w:val="00562978"/>
    <w:rsid w:val="00590603"/>
    <w:rsid w:val="005A5E90"/>
    <w:rsid w:val="005B39E9"/>
    <w:rsid w:val="005D53D6"/>
    <w:rsid w:val="005D6D36"/>
    <w:rsid w:val="005E4214"/>
    <w:rsid w:val="005E7502"/>
    <w:rsid w:val="005F35B2"/>
    <w:rsid w:val="00600EDA"/>
    <w:rsid w:val="0060225C"/>
    <w:rsid w:val="00603366"/>
    <w:rsid w:val="006178A6"/>
    <w:rsid w:val="00623792"/>
    <w:rsid w:val="0062760A"/>
    <w:rsid w:val="0066014D"/>
    <w:rsid w:val="00666337"/>
    <w:rsid w:val="0066737E"/>
    <w:rsid w:val="00672652"/>
    <w:rsid w:val="00674055"/>
    <w:rsid w:val="006935CF"/>
    <w:rsid w:val="006A1AAD"/>
    <w:rsid w:val="006A7572"/>
    <w:rsid w:val="006C0925"/>
    <w:rsid w:val="006D0526"/>
    <w:rsid w:val="006E3F2B"/>
    <w:rsid w:val="006F53DD"/>
    <w:rsid w:val="007107E0"/>
    <w:rsid w:val="007215F8"/>
    <w:rsid w:val="00782622"/>
    <w:rsid w:val="007D0BF5"/>
    <w:rsid w:val="007D1FF4"/>
    <w:rsid w:val="007D5424"/>
    <w:rsid w:val="007D6A0F"/>
    <w:rsid w:val="007D6CF9"/>
    <w:rsid w:val="008059D1"/>
    <w:rsid w:val="00816640"/>
    <w:rsid w:val="00846B75"/>
    <w:rsid w:val="00847626"/>
    <w:rsid w:val="0087493C"/>
    <w:rsid w:val="00881036"/>
    <w:rsid w:val="00887F02"/>
    <w:rsid w:val="00892234"/>
    <w:rsid w:val="00896C50"/>
    <w:rsid w:val="008A00E2"/>
    <w:rsid w:val="008A342A"/>
    <w:rsid w:val="008C65FB"/>
    <w:rsid w:val="008E0929"/>
    <w:rsid w:val="008F54AA"/>
    <w:rsid w:val="008F762F"/>
    <w:rsid w:val="00913CA0"/>
    <w:rsid w:val="009477FC"/>
    <w:rsid w:val="00947FF4"/>
    <w:rsid w:val="00955C91"/>
    <w:rsid w:val="00961DA0"/>
    <w:rsid w:val="00961E1D"/>
    <w:rsid w:val="00967E66"/>
    <w:rsid w:val="00972395"/>
    <w:rsid w:val="00983AD4"/>
    <w:rsid w:val="00986314"/>
    <w:rsid w:val="00986F80"/>
    <w:rsid w:val="0099288B"/>
    <w:rsid w:val="009A21D7"/>
    <w:rsid w:val="009D2103"/>
    <w:rsid w:val="009D2CFA"/>
    <w:rsid w:val="009E2154"/>
    <w:rsid w:val="00A009B7"/>
    <w:rsid w:val="00A02012"/>
    <w:rsid w:val="00A15C4B"/>
    <w:rsid w:val="00A310C5"/>
    <w:rsid w:val="00A46E37"/>
    <w:rsid w:val="00A57A35"/>
    <w:rsid w:val="00A76474"/>
    <w:rsid w:val="00A84A11"/>
    <w:rsid w:val="00A93703"/>
    <w:rsid w:val="00AA7738"/>
    <w:rsid w:val="00AD7721"/>
    <w:rsid w:val="00AF7048"/>
    <w:rsid w:val="00AF74D8"/>
    <w:rsid w:val="00B10D94"/>
    <w:rsid w:val="00B2178C"/>
    <w:rsid w:val="00B23BCF"/>
    <w:rsid w:val="00B27AAA"/>
    <w:rsid w:val="00B46607"/>
    <w:rsid w:val="00B518A5"/>
    <w:rsid w:val="00B5530F"/>
    <w:rsid w:val="00B64529"/>
    <w:rsid w:val="00BB5B25"/>
    <w:rsid w:val="00BB625E"/>
    <w:rsid w:val="00BC3641"/>
    <w:rsid w:val="00BC7613"/>
    <w:rsid w:val="00BF0EB2"/>
    <w:rsid w:val="00C05E56"/>
    <w:rsid w:val="00C22DB5"/>
    <w:rsid w:val="00C32339"/>
    <w:rsid w:val="00C355E7"/>
    <w:rsid w:val="00C444E7"/>
    <w:rsid w:val="00C54108"/>
    <w:rsid w:val="00C92B95"/>
    <w:rsid w:val="00C95B64"/>
    <w:rsid w:val="00CA6E95"/>
    <w:rsid w:val="00CC2B59"/>
    <w:rsid w:val="00CC7B9A"/>
    <w:rsid w:val="00CE0A29"/>
    <w:rsid w:val="00D0555B"/>
    <w:rsid w:val="00D2230F"/>
    <w:rsid w:val="00D340D4"/>
    <w:rsid w:val="00DA1B8E"/>
    <w:rsid w:val="00DA4E24"/>
    <w:rsid w:val="00DB4D6E"/>
    <w:rsid w:val="00DD1AD8"/>
    <w:rsid w:val="00E052E9"/>
    <w:rsid w:val="00E11938"/>
    <w:rsid w:val="00E1392E"/>
    <w:rsid w:val="00E23D31"/>
    <w:rsid w:val="00E31059"/>
    <w:rsid w:val="00E33B4D"/>
    <w:rsid w:val="00E342DD"/>
    <w:rsid w:val="00E755EB"/>
    <w:rsid w:val="00E83F6F"/>
    <w:rsid w:val="00E86AEB"/>
    <w:rsid w:val="00EA4194"/>
    <w:rsid w:val="00EA513C"/>
    <w:rsid w:val="00EB207B"/>
    <w:rsid w:val="00EE10E4"/>
    <w:rsid w:val="00F154F0"/>
    <w:rsid w:val="00F237B6"/>
    <w:rsid w:val="00F31D26"/>
    <w:rsid w:val="00F41920"/>
    <w:rsid w:val="00F51B74"/>
    <w:rsid w:val="00F56EE8"/>
    <w:rsid w:val="00F60CF8"/>
    <w:rsid w:val="00F97FE4"/>
    <w:rsid w:val="00FB1176"/>
    <w:rsid w:val="00FC2501"/>
    <w:rsid w:val="00FD3A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C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5B64"/>
    <w:pPr>
      <w:tabs>
        <w:tab w:val="center" w:pos="4320"/>
        <w:tab w:val="right" w:pos="8640"/>
      </w:tabs>
    </w:pPr>
  </w:style>
  <w:style w:type="character" w:styleId="PageNumber">
    <w:name w:val="page number"/>
    <w:basedOn w:val="DefaultParagraphFont"/>
    <w:rsid w:val="00C95B64"/>
  </w:style>
  <w:style w:type="table" w:styleId="TableGrid">
    <w:name w:val="Table Grid"/>
    <w:basedOn w:val="TableNormal"/>
    <w:rsid w:val="008A0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23792"/>
    <w:rPr>
      <w:rFonts w:ascii="Tahoma" w:hAnsi="Tahoma" w:cs="Tahoma"/>
      <w:sz w:val="16"/>
      <w:szCs w:val="16"/>
    </w:rPr>
  </w:style>
  <w:style w:type="character" w:customStyle="1" w:styleId="BalloonTextChar">
    <w:name w:val="Balloon Text Char"/>
    <w:basedOn w:val="DefaultParagraphFont"/>
    <w:link w:val="BalloonText"/>
    <w:rsid w:val="00623792"/>
    <w:rPr>
      <w:rFonts w:ascii="Tahoma" w:hAnsi="Tahoma" w:cs="Tahoma"/>
      <w:sz w:val="16"/>
      <w:szCs w:val="16"/>
    </w:rPr>
  </w:style>
  <w:style w:type="paragraph" w:styleId="ListParagraph">
    <w:name w:val="List Paragraph"/>
    <w:basedOn w:val="Normal"/>
    <w:uiPriority w:val="34"/>
    <w:qFormat/>
    <w:rsid w:val="005E4214"/>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rsid w:val="00E755EB"/>
    <w:pPr>
      <w:tabs>
        <w:tab w:val="center" w:pos="4680"/>
        <w:tab w:val="right" w:pos="9360"/>
      </w:tabs>
    </w:pPr>
  </w:style>
  <w:style w:type="character" w:customStyle="1" w:styleId="HeaderChar">
    <w:name w:val="Header Char"/>
    <w:basedOn w:val="DefaultParagraphFont"/>
    <w:link w:val="Header"/>
    <w:rsid w:val="00E755E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E:\BSSSp07.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TCESpr07F08F0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ScoreDistBSSSp07andF0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Score%20DistributionTCEpreSPS-S5F0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Score%20DistributionTCEspsF08.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Score%20DistributionTCEpreSPS-S5F0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Beyond Solar System </a:t>
            </a:r>
          </a:p>
        </c:rich>
      </c:tx>
      <c:layout>
        <c:manualLayout>
          <c:xMode val="edge"/>
          <c:yMode val="edge"/>
          <c:x val="0.31355555555555581"/>
          <c:y val="4.1666666666666692E-2"/>
        </c:manualLayout>
      </c:layout>
    </c:title>
    <c:plotArea>
      <c:layout/>
      <c:barChart>
        <c:barDir val="col"/>
        <c:grouping val="clustered"/>
        <c:ser>
          <c:idx val="0"/>
          <c:order val="0"/>
          <c:tx>
            <c:v>Spring, 2007</c:v>
          </c:tx>
          <c:cat>
            <c:strRef>
              <c:f>'Score Distribution'!$B$4:$B$13</c:f>
              <c:strCache>
                <c:ptCount val="10"/>
                <c:pt idx="0">
                  <c:v>0-10%</c:v>
                </c:pt>
                <c:pt idx="1">
                  <c:v>&lt;10-20%</c:v>
                </c:pt>
                <c:pt idx="2">
                  <c:v>&lt;20-30%</c:v>
                </c:pt>
                <c:pt idx="3">
                  <c:v>&lt;30-40%</c:v>
                </c:pt>
                <c:pt idx="4">
                  <c:v>&lt;40-50%</c:v>
                </c:pt>
                <c:pt idx="5">
                  <c:v>&lt;50-60%</c:v>
                </c:pt>
                <c:pt idx="6">
                  <c:v>&lt;60-70%</c:v>
                </c:pt>
                <c:pt idx="7">
                  <c:v>&lt;70-80%</c:v>
                </c:pt>
                <c:pt idx="8">
                  <c:v>&lt;80-90%</c:v>
                </c:pt>
                <c:pt idx="9">
                  <c:v>&lt;90-100%</c:v>
                </c:pt>
              </c:strCache>
            </c:strRef>
          </c:cat>
          <c:val>
            <c:numRef>
              <c:f>'Score Distribution'!$C$4:$C$13</c:f>
              <c:numCache>
                <c:formatCode>General</c:formatCode>
                <c:ptCount val="10"/>
                <c:pt idx="0">
                  <c:v>0</c:v>
                </c:pt>
                <c:pt idx="1">
                  <c:v>0</c:v>
                </c:pt>
                <c:pt idx="2">
                  <c:v>0</c:v>
                </c:pt>
                <c:pt idx="3">
                  <c:v>2</c:v>
                </c:pt>
                <c:pt idx="4">
                  <c:v>3</c:v>
                </c:pt>
                <c:pt idx="5">
                  <c:v>3</c:v>
                </c:pt>
                <c:pt idx="6">
                  <c:v>7</c:v>
                </c:pt>
                <c:pt idx="7">
                  <c:v>1</c:v>
                </c:pt>
                <c:pt idx="8">
                  <c:v>3</c:v>
                </c:pt>
                <c:pt idx="9">
                  <c:v>3</c:v>
                </c:pt>
              </c:numCache>
            </c:numRef>
          </c:val>
        </c:ser>
        <c:axId val="193974272"/>
        <c:axId val="193976192"/>
      </c:barChart>
      <c:catAx>
        <c:axId val="193974272"/>
        <c:scaling>
          <c:orientation val="minMax"/>
        </c:scaling>
        <c:axPos val="b"/>
        <c:title>
          <c:tx>
            <c:rich>
              <a:bodyPr/>
              <a:lstStyle/>
              <a:p>
                <a:pPr>
                  <a:defRPr/>
                </a:pPr>
                <a:r>
                  <a:rPr lang="en-US"/>
                  <a:t>Percent Correct Range</a:t>
                </a:r>
              </a:p>
            </c:rich>
          </c:tx>
        </c:title>
        <c:numFmt formatCode="General" sourceLinked="1"/>
        <c:tickLblPos val="nextTo"/>
        <c:crossAx val="193976192"/>
        <c:crosses val="autoZero"/>
        <c:auto val="1"/>
        <c:lblAlgn val="ctr"/>
        <c:lblOffset val="100"/>
      </c:catAx>
      <c:valAx>
        <c:axId val="193976192"/>
        <c:scaling>
          <c:orientation val="minMax"/>
        </c:scaling>
        <c:axPos val="l"/>
        <c:majorGridlines/>
        <c:title>
          <c:tx>
            <c:rich>
              <a:bodyPr rot="-5400000" vert="horz"/>
              <a:lstStyle/>
              <a:p>
                <a:pPr>
                  <a:defRPr/>
                </a:pPr>
                <a:r>
                  <a:rPr lang="en-US"/>
                  <a:t>Number of Students</a:t>
                </a:r>
              </a:p>
            </c:rich>
          </c:tx>
        </c:title>
        <c:numFmt formatCode="General" sourceLinked="1"/>
        <c:tickLblPos val="nextTo"/>
        <c:crossAx val="19397427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Thermal Concept Evaluation</a:t>
            </a:r>
          </a:p>
        </c:rich>
      </c:tx>
    </c:title>
    <c:plotArea>
      <c:layout/>
      <c:barChart>
        <c:barDir val="col"/>
        <c:grouping val="clustered"/>
        <c:ser>
          <c:idx val="0"/>
          <c:order val="0"/>
          <c:tx>
            <c:v>Spring, 2007</c:v>
          </c:tx>
          <c:cat>
            <c:strRef>
              <c:f>'Score Distribution'!$B$4:$B$13</c:f>
              <c:strCache>
                <c:ptCount val="10"/>
                <c:pt idx="0">
                  <c:v>0-10%</c:v>
                </c:pt>
                <c:pt idx="1">
                  <c:v>&lt;10-20%</c:v>
                </c:pt>
                <c:pt idx="2">
                  <c:v>&lt;20-30%</c:v>
                </c:pt>
                <c:pt idx="3">
                  <c:v>&lt;30-40%</c:v>
                </c:pt>
                <c:pt idx="4">
                  <c:v>&lt;40-50%</c:v>
                </c:pt>
                <c:pt idx="5">
                  <c:v>&lt;50-60%</c:v>
                </c:pt>
                <c:pt idx="6">
                  <c:v>&lt;60-70%</c:v>
                </c:pt>
                <c:pt idx="7">
                  <c:v>&lt;70-80%</c:v>
                </c:pt>
                <c:pt idx="8">
                  <c:v>&lt;80-90%</c:v>
                </c:pt>
                <c:pt idx="9">
                  <c:v>&lt;90-100%</c:v>
                </c:pt>
              </c:strCache>
            </c:strRef>
          </c:cat>
          <c:val>
            <c:numRef>
              <c:f>'Score Distribution'!$C$4:$C$13</c:f>
              <c:numCache>
                <c:formatCode>General</c:formatCode>
                <c:ptCount val="10"/>
                <c:pt idx="0">
                  <c:v>0</c:v>
                </c:pt>
                <c:pt idx="1">
                  <c:v>1</c:v>
                </c:pt>
                <c:pt idx="2">
                  <c:v>2</c:v>
                </c:pt>
                <c:pt idx="3">
                  <c:v>0</c:v>
                </c:pt>
                <c:pt idx="4">
                  <c:v>2</c:v>
                </c:pt>
                <c:pt idx="5">
                  <c:v>2</c:v>
                </c:pt>
                <c:pt idx="6">
                  <c:v>0</c:v>
                </c:pt>
                <c:pt idx="7">
                  <c:v>3</c:v>
                </c:pt>
                <c:pt idx="8">
                  <c:v>1</c:v>
                </c:pt>
                <c:pt idx="9">
                  <c:v>0</c:v>
                </c:pt>
              </c:numCache>
            </c:numRef>
          </c:val>
        </c:ser>
        <c:ser>
          <c:idx val="1"/>
          <c:order val="1"/>
          <c:tx>
            <c:v>Fall, 2008</c:v>
          </c:tx>
          <c:cat>
            <c:strRef>
              <c:f>'Score Distribution'!$B$4:$B$13</c:f>
              <c:strCache>
                <c:ptCount val="10"/>
                <c:pt idx="0">
                  <c:v>0-10%</c:v>
                </c:pt>
                <c:pt idx="1">
                  <c:v>&lt;10-20%</c:v>
                </c:pt>
                <c:pt idx="2">
                  <c:v>&lt;20-30%</c:v>
                </c:pt>
                <c:pt idx="3">
                  <c:v>&lt;30-40%</c:v>
                </c:pt>
                <c:pt idx="4">
                  <c:v>&lt;40-50%</c:v>
                </c:pt>
                <c:pt idx="5">
                  <c:v>&lt;50-60%</c:v>
                </c:pt>
                <c:pt idx="6">
                  <c:v>&lt;60-70%</c:v>
                </c:pt>
                <c:pt idx="7">
                  <c:v>&lt;70-80%</c:v>
                </c:pt>
                <c:pt idx="8">
                  <c:v>&lt;80-90%</c:v>
                </c:pt>
                <c:pt idx="9">
                  <c:v>&lt;90-100%</c:v>
                </c:pt>
              </c:strCache>
            </c:strRef>
          </c:cat>
          <c:val>
            <c:numRef>
              <c:f>'Score Distribution'!$D$4:$D$13</c:f>
              <c:numCache>
                <c:formatCode>General</c:formatCode>
                <c:ptCount val="10"/>
                <c:pt idx="0">
                  <c:v>0</c:v>
                </c:pt>
                <c:pt idx="1">
                  <c:v>2</c:v>
                </c:pt>
                <c:pt idx="2">
                  <c:v>3</c:v>
                </c:pt>
                <c:pt idx="3">
                  <c:v>0</c:v>
                </c:pt>
                <c:pt idx="4">
                  <c:v>6</c:v>
                </c:pt>
                <c:pt idx="5">
                  <c:v>5</c:v>
                </c:pt>
                <c:pt idx="6">
                  <c:v>0</c:v>
                </c:pt>
                <c:pt idx="7">
                  <c:v>3</c:v>
                </c:pt>
                <c:pt idx="8">
                  <c:v>0</c:v>
                </c:pt>
                <c:pt idx="9">
                  <c:v>0</c:v>
                </c:pt>
              </c:numCache>
            </c:numRef>
          </c:val>
        </c:ser>
        <c:ser>
          <c:idx val="2"/>
          <c:order val="2"/>
          <c:tx>
            <c:v>Fall, 2009</c:v>
          </c:tx>
          <c:cat>
            <c:strRef>
              <c:f>'Score Distribution'!$B$4:$B$13</c:f>
              <c:strCache>
                <c:ptCount val="10"/>
                <c:pt idx="0">
                  <c:v>0-10%</c:v>
                </c:pt>
                <c:pt idx="1">
                  <c:v>&lt;10-20%</c:v>
                </c:pt>
                <c:pt idx="2">
                  <c:v>&lt;20-30%</c:v>
                </c:pt>
                <c:pt idx="3">
                  <c:v>&lt;30-40%</c:v>
                </c:pt>
                <c:pt idx="4">
                  <c:v>&lt;40-50%</c:v>
                </c:pt>
                <c:pt idx="5">
                  <c:v>&lt;50-60%</c:v>
                </c:pt>
                <c:pt idx="6">
                  <c:v>&lt;60-70%</c:v>
                </c:pt>
                <c:pt idx="7">
                  <c:v>&lt;70-80%</c:v>
                </c:pt>
                <c:pt idx="8">
                  <c:v>&lt;80-90%</c:v>
                </c:pt>
                <c:pt idx="9">
                  <c:v>&lt;90-100%</c:v>
                </c:pt>
              </c:strCache>
            </c:strRef>
          </c:cat>
          <c:val>
            <c:numRef>
              <c:f>'Score Distribution'!$E$4:$E$13</c:f>
              <c:numCache>
                <c:formatCode>General</c:formatCode>
                <c:ptCount val="10"/>
                <c:pt idx="0">
                  <c:v>0</c:v>
                </c:pt>
                <c:pt idx="1">
                  <c:v>2</c:v>
                </c:pt>
                <c:pt idx="2">
                  <c:v>8</c:v>
                </c:pt>
                <c:pt idx="3">
                  <c:v>2</c:v>
                </c:pt>
                <c:pt idx="4">
                  <c:v>0</c:v>
                </c:pt>
                <c:pt idx="5">
                  <c:v>1</c:v>
                </c:pt>
                <c:pt idx="6">
                  <c:v>0</c:v>
                </c:pt>
                <c:pt idx="7">
                  <c:v>0</c:v>
                </c:pt>
                <c:pt idx="8">
                  <c:v>0</c:v>
                </c:pt>
                <c:pt idx="9">
                  <c:v>0</c:v>
                </c:pt>
              </c:numCache>
            </c:numRef>
          </c:val>
        </c:ser>
        <c:axId val="183920128"/>
        <c:axId val="183922048"/>
      </c:barChart>
      <c:catAx>
        <c:axId val="183920128"/>
        <c:scaling>
          <c:orientation val="minMax"/>
        </c:scaling>
        <c:axPos val="b"/>
        <c:title>
          <c:tx>
            <c:rich>
              <a:bodyPr/>
              <a:lstStyle/>
              <a:p>
                <a:pPr>
                  <a:defRPr/>
                </a:pPr>
                <a:r>
                  <a:rPr lang="en-US"/>
                  <a:t>Percent Correct</a:t>
                </a:r>
              </a:p>
            </c:rich>
          </c:tx>
        </c:title>
        <c:tickLblPos val="nextTo"/>
        <c:crossAx val="183922048"/>
        <c:crosses val="autoZero"/>
        <c:auto val="1"/>
        <c:lblAlgn val="ctr"/>
        <c:lblOffset val="100"/>
      </c:catAx>
      <c:valAx>
        <c:axId val="183922048"/>
        <c:scaling>
          <c:orientation val="minMax"/>
        </c:scaling>
        <c:axPos val="l"/>
        <c:majorGridlines/>
        <c:title>
          <c:tx>
            <c:rich>
              <a:bodyPr rot="0" vert="horz"/>
              <a:lstStyle/>
              <a:p>
                <a:pPr>
                  <a:defRPr/>
                </a:pPr>
                <a:r>
                  <a:rPr lang="en-US"/>
                  <a:t>Number of Students</a:t>
                </a:r>
              </a:p>
            </c:rich>
          </c:tx>
        </c:title>
        <c:numFmt formatCode="General" sourceLinked="1"/>
        <c:tickLblPos val="nextTo"/>
        <c:crossAx val="18392012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Beyond the Solar System</a:t>
            </a:r>
          </a:p>
        </c:rich>
      </c:tx>
    </c:title>
    <c:plotArea>
      <c:layout/>
      <c:barChart>
        <c:barDir val="col"/>
        <c:grouping val="clustered"/>
        <c:ser>
          <c:idx val="0"/>
          <c:order val="0"/>
          <c:tx>
            <c:v>Spring, 2007</c:v>
          </c:tx>
          <c:cat>
            <c:strRef>
              <c:f>'Score Distribution'!$B$4:$B$13</c:f>
              <c:strCache>
                <c:ptCount val="10"/>
                <c:pt idx="0">
                  <c:v>0-10%</c:v>
                </c:pt>
                <c:pt idx="1">
                  <c:v>&lt;10-20%</c:v>
                </c:pt>
                <c:pt idx="2">
                  <c:v>&lt;20-30%</c:v>
                </c:pt>
                <c:pt idx="3">
                  <c:v>&lt;30-40%</c:v>
                </c:pt>
                <c:pt idx="4">
                  <c:v>&lt;40-50%</c:v>
                </c:pt>
                <c:pt idx="5">
                  <c:v>&lt;50-60%</c:v>
                </c:pt>
                <c:pt idx="6">
                  <c:v>&lt;60-70%</c:v>
                </c:pt>
                <c:pt idx="7">
                  <c:v>&lt;70-80%</c:v>
                </c:pt>
                <c:pt idx="8">
                  <c:v>&lt;80-90%</c:v>
                </c:pt>
                <c:pt idx="9">
                  <c:v>&lt;90-100%</c:v>
                </c:pt>
              </c:strCache>
            </c:strRef>
          </c:cat>
          <c:val>
            <c:numRef>
              <c:f>'Score Distribution'!$C$4:$C$13</c:f>
              <c:numCache>
                <c:formatCode>General</c:formatCode>
                <c:ptCount val="10"/>
                <c:pt idx="0">
                  <c:v>0</c:v>
                </c:pt>
                <c:pt idx="1">
                  <c:v>0</c:v>
                </c:pt>
                <c:pt idx="2">
                  <c:v>0</c:v>
                </c:pt>
                <c:pt idx="3">
                  <c:v>2</c:v>
                </c:pt>
                <c:pt idx="4">
                  <c:v>3</c:v>
                </c:pt>
                <c:pt idx="5">
                  <c:v>3</c:v>
                </c:pt>
                <c:pt idx="6">
                  <c:v>7</c:v>
                </c:pt>
                <c:pt idx="7">
                  <c:v>1</c:v>
                </c:pt>
                <c:pt idx="8">
                  <c:v>3</c:v>
                </c:pt>
                <c:pt idx="9">
                  <c:v>3</c:v>
                </c:pt>
              </c:numCache>
            </c:numRef>
          </c:val>
        </c:ser>
        <c:ser>
          <c:idx val="1"/>
          <c:order val="1"/>
          <c:tx>
            <c:v>Fall, 2007</c:v>
          </c:tx>
          <c:cat>
            <c:strRef>
              <c:f>'Score Distribution'!$B$4:$B$13</c:f>
              <c:strCache>
                <c:ptCount val="10"/>
                <c:pt idx="0">
                  <c:v>0-10%</c:v>
                </c:pt>
                <c:pt idx="1">
                  <c:v>&lt;10-20%</c:v>
                </c:pt>
                <c:pt idx="2">
                  <c:v>&lt;20-30%</c:v>
                </c:pt>
                <c:pt idx="3">
                  <c:v>&lt;30-40%</c:v>
                </c:pt>
                <c:pt idx="4">
                  <c:v>&lt;40-50%</c:v>
                </c:pt>
                <c:pt idx="5">
                  <c:v>&lt;50-60%</c:v>
                </c:pt>
                <c:pt idx="6">
                  <c:v>&lt;60-70%</c:v>
                </c:pt>
                <c:pt idx="7">
                  <c:v>&lt;70-80%</c:v>
                </c:pt>
                <c:pt idx="8">
                  <c:v>&lt;80-90%</c:v>
                </c:pt>
                <c:pt idx="9">
                  <c:v>&lt;90-100%</c:v>
                </c:pt>
              </c:strCache>
            </c:strRef>
          </c:cat>
          <c:val>
            <c:numRef>
              <c:f>'Score Distribution'!$D$4:$D$13</c:f>
              <c:numCache>
                <c:formatCode>General</c:formatCode>
                <c:ptCount val="10"/>
                <c:pt idx="0">
                  <c:v>0</c:v>
                </c:pt>
                <c:pt idx="1">
                  <c:v>3</c:v>
                </c:pt>
                <c:pt idx="2">
                  <c:v>0</c:v>
                </c:pt>
                <c:pt idx="3">
                  <c:v>3</c:v>
                </c:pt>
                <c:pt idx="4">
                  <c:v>6</c:v>
                </c:pt>
                <c:pt idx="5">
                  <c:v>0</c:v>
                </c:pt>
                <c:pt idx="6">
                  <c:v>2</c:v>
                </c:pt>
                <c:pt idx="7">
                  <c:v>1</c:v>
                </c:pt>
                <c:pt idx="8">
                  <c:v>1</c:v>
                </c:pt>
                <c:pt idx="9">
                  <c:v>1</c:v>
                </c:pt>
              </c:numCache>
            </c:numRef>
          </c:val>
        </c:ser>
        <c:axId val="193859968"/>
        <c:axId val="193861888"/>
      </c:barChart>
      <c:catAx>
        <c:axId val="193859968"/>
        <c:scaling>
          <c:orientation val="minMax"/>
        </c:scaling>
        <c:axPos val="b"/>
        <c:title>
          <c:tx>
            <c:rich>
              <a:bodyPr/>
              <a:lstStyle/>
              <a:p>
                <a:pPr>
                  <a:defRPr/>
                </a:pPr>
                <a:r>
                  <a:rPr lang="en-US"/>
                  <a:t>Percent Correct</a:t>
                </a:r>
              </a:p>
            </c:rich>
          </c:tx>
        </c:title>
        <c:numFmt formatCode="General" sourceLinked="1"/>
        <c:tickLblPos val="nextTo"/>
        <c:crossAx val="193861888"/>
        <c:crosses val="autoZero"/>
        <c:auto val="1"/>
        <c:lblAlgn val="ctr"/>
        <c:lblOffset val="100"/>
      </c:catAx>
      <c:valAx>
        <c:axId val="193861888"/>
        <c:scaling>
          <c:orientation val="minMax"/>
        </c:scaling>
        <c:axPos val="l"/>
        <c:majorGridlines/>
        <c:title>
          <c:tx>
            <c:rich>
              <a:bodyPr rot="0" vert="horz"/>
              <a:lstStyle/>
              <a:p>
                <a:pPr>
                  <a:defRPr/>
                </a:pPr>
                <a:r>
                  <a:rPr lang="en-US"/>
                  <a:t>Number of Students</a:t>
                </a:r>
              </a:p>
            </c:rich>
          </c:tx>
        </c:title>
        <c:numFmt formatCode="General" sourceLinked="1"/>
        <c:tickLblPos val="nextTo"/>
        <c:crossAx val="193859968"/>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Pre/Post Thermal Concept Evaluation</a:t>
            </a:r>
          </a:p>
        </c:rich>
      </c:tx>
    </c:title>
    <c:plotArea>
      <c:layout/>
      <c:barChart>
        <c:barDir val="col"/>
        <c:grouping val="clustered"/>
        <c:ser>
          <c:idx val="0"/>
          <c:order val="0"/>
          <c:tx>
            <c:v>Pre-Test Fall, 2009</c:v>
          </c:tx>
          <c:cat>
            <c:strRef>
              <c:f>'[Score DistributionTCEpreSPS-S5F09.xls]Score Distribution'!$B$4:$B$13</c:f>
              <c:strCache>
                <c:ptCount val="10"/>
                <c:pt idx="0">
                  <c:v>0-10%</c:v>
                </c:pt>
                <c:pt idx="1">
                  <c:v>&lt;10-20%</c:v>
                </c:pt>
                <c:pt idx="2">
                  <c:v>&lt;20-30%</c:v>
                </c:pt>
                <c:pt idx="3">
                  <c:v>&lt;30-40%</c:v>
                </c:pt>
                <c:pt idx="4">
                  <c:v>&lt;40-50%</c:v>
                </c:pt>
                <c:pt idx="5">
                  <c:v>&lt;50-60%</c:v>
                </c:pt>
                <c:pt idx="6">
                  <c:v>&lt;60-70%</c:v>
                </c:pt>
                <c:pt idx="7">
                  <c:v>&lt;70-80%</c:v>
                </c:pt>
                <c:pt idx="8">
                  <c:v>&lt;80-90%</c:v>
                </c:pt>
                <c:pt idx="9">
                  <c:v>&lt;90-100%</c:v>
                </c:pt>
              </c:strCache>
            </c:strRef>
          </c:cat>
          <c:val>
            <c:numRef>
              <c:f>'[Score DistributionTCEpreSPS-S5F09.xls]Score Distribution'!$C$4:$C$13</c:f>
              <c:numCache>
                <c:formatCode>General</c:formatCode>
                <c:ptCount val="10"/>
                <c:pt idx="0">
                  <c:v>0</c:v>
                </c:pt>
                <c:pt idx="1">
                  <c:v>5</c:v>
                </c:pt>
                <c:pt idx="2">
                  <c:v>3</c:v>
                </c:pt>
                <c:pt idx="3">
                  <c:v>3</c:v>
                </c:pt>
                <c:pt idx="4">
                  <c:v>1</c:v>
                </c:pt>
                <c:pt idx="5">
                  <c:v>0</c:v>
                </c:pt>
                <c:pt idx="6">
                  <c:v>1</c:v>
                </c:pt>
                <c:pt idx="7">
                  <c:v>0</c:v>
                </c:pt>
                <c:pt idx="8">
                  <c:v>0</c:v>
                </c:pt>
                <c:pt idx="9">
                  <c:v>0</c:v>
                </c:pt>
              </c:numCache>
            </c:numRef>
          </c:val>
        </c:ser>
        <c:ser>
          <c:idx val="1"/>
          <c:order val="1"/>
          <c:tx>
            <c:v>Post-Test Fall, 2009</c:v>
          </c:tx>
          <c:cat>
            <c:strRef>
              <c:f>'[Score DistributionTCEpreSPS-S5F09.xls]Score Distribution'!$B$4:$B$13</c:f>
              <c:strCache>
                <c:ptCount val="10"/>
                <c:pt idx="0">
                  <c:v>0-10%</c:v>
                </c:pt>
                <c:pt idx="1">
                  <c:v>&lt;10-20%</c:v>
                </c:pt>
                <c:pt idx="2">
                  <c:v>&lt;20-30%</c:v>
                </c:pt>
                <c:pt idx="3">
                  <c:v>&lt;30-40%</c:v>
                </c:pt>
                <c:pt idx="4">
                  <c:v>&lt;40-50%</c:v>
                </c:pt>
                <c:pt idx="5">
                  <c:v>&lt;50-60%</c:v>
                </c:pt>
                <c:pt idx="6">
                  <c:v>&lt;60-70%</c:v>
                </c:pt>
                <c:pt idx="7">
                  <c:v>&lt;70-80%</c:v>
                </c:pt>
                <c:pt idx="8">
                  <c:v>&lt;80-90%</c:v>
                </c:pt>
                <c:pt idx="9">
                  <c:v>&lt;90-100%</c:v>
                </c:pt>
              </c:strCache>
            </c:strRef>
          </c:cat>
          <c:val>
            <c:numRef>
              <c:f>'[Score DistributionTCEpreSPS-S5F09.xls]Score Distribution'!$D$4:$D$13</c:f>
              <c:numCache>
                <c:formatCode>General</c:formatCode>
                <c:ptCount val="10"/>
                <c:pt idx="0">
                  <c:v>0</c:v>
                </c:pt>
                <c:pt idx="1">
                  <c:v>2</c:v>
                </c:pt>
                <c:pt idx="2">
                  <c:v>8</c:v>
                </c:pt>
                <c:pt idx="3">
                  <c:v>2</c:v>
                </c:pt>
                <c:pt idx="4">
                  <c:v>0</c:v>
                </c:pt>
                <c:pt idx="5">
                  <c:v>1</c:v>
                </c:pt>
                <c:pt idx="6">
                  <c:v>0</c:v>
                </c:pt>
                <c:pt idx="7">
                  <c:v>0</c:v>
                </c:pt>
                <c:pt idx="8">
                  <c:v>0</c:v>
                </c:pt>
                <c:pt idx="9">
                  <c:v>0</c:v>
                </c:pt>
              </c:numCache>
            </c:numRef>
          </c:val>
        </c:ser>
        <c:axId val="193924096"/>
        <c:axId val="193938560"/>
      </c:barChart>
      <c:catAx>
        <c:axId val="193924096"/>
        <c:scaling>
          <c:orientation val="minMax"/>
        </c:scaling>
        <c:axPos val="b"/>
        <c:title>
          <c:tx>
            <c:rich>
              <a:bodyPr/>
              <a:lstStyle/>
              <a:p>
                <a:pPr>
                  <a:defRPr/>
                </a:pPr>
                <a:r>
                  <a:rPr lang="en-US"/>
                  <a:t>Percent Correct Range</a:t>
                </a:r>
              </a:p>
            </c:rich>
          </c:tx>
        </c:title>
        <c:numFmt formatCode="General" sourceLinked="1"/>
        <c:tickLblPos val="nextTo"/>
        <c:crossAx val="193938560"/>
        <c:crosses val="autoZero"/>
        <c:auto val="1"/>
        <c:lblAlgn val="ctr"/>
        <c:lblOffset val="100"/>
      </c:catAx>
      <c:valAx>
        <c:axId val="193938560"/>
        <c:scaling>
          <c:orientation val="minMax"/>
        </c:scaling>
        <c:axPos val="l"/>
        <c:majorGridlines/>
        <c:title>
          <c:tx>
            <c:rich>
              <a:bodyPr rot="-5400000" vert="horz"/>
              <a:lstStyle/>
              <a:p>
                <a:pPr>
                  <a:defRPr/>
                </a:pPr>
                <a:r>
                  <a:rPr lang="en-US"/>
                  <a:t>Number of Students</a:t>
                </a:r>
              </a:p>
            </c:rich>
          </c:tx>
        </c:title>
        <c:numFmt formatCode="General" sourceLinked="1"/>
        <c:tickLblPos val="nextTo"/>
        <c:crossAx val="193924096"/>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Thermal Concept Evaluation </a:t>
            </a:r>
          </a:p>
        </c:rich>
      </c:tx>
    </c:title>
    <c:plotArea>
      <c:layout/>
      <c:barChart>
        <c:barDir val="col"/>
        <c:grouping val="clustered"/>
        <c:ser>
          <c:idx val="0"/>
          <c:order val="0"/>
          <c:tx>
            <c:v>Fall, 2008</c:v>
          </c:tx>
          <c:cat>
            <c:strRef>
              <c:f>'Score Distribution'!$B$4:$B$13</c:f>
              <c:strCache>
                <c:ptCount val="10"/>
                <c:pt idx="0">
                  <c:v>0-10%</c:v>
                </c:pt>
                <c:pt idx="1">
                  <c:v>&lt;10-20%</c:v>
                </c:pt>
                <c:pt idx="2">
                  <c:v>&lt;20-30%</c:v>
                </c:pt>
                <c:pt idx="3">
                  <c:v>&lt;30-40%</c:v>
                </c:pt>
                <c:pt idx="4">
                  <c:v>&lt;40-50%</c:v>
                </c:pt>
                <c:pt idx="5">
                  <c:v>&lt;50-60%</c:v>
                </c:pt>
                <c:pt idx="6">
                  <c:v>&lt;60-70%</c:v>
                </c:pt>
                <c:pt idx="7">
                  <c:v>&lt;70-80%</c:v>
                </c:pt>
                <c:pt idx="8">
                  <c:v>&lt;80-90%</c:v>
                </c:pt>
                <c:pt idx="9">
                  <c:v>&lt;90-100%</c:v>
                </c:pt>
              </c:strCache>
            </c:strRef>
          </c:cat>
          <c:val>
            <c:numRef>
              <c:f>'Score Distribution'!$C$4:$C$13</c:f>
              <c:numCache>
                <c:formatCode>General</c:formatCode>
                <c:ptCount val="10"/>
                <c:pt idx="0">
                  <c:v>0</c:v>
                </c:pt>
                <c:pt idx="1">
                  <c:v>2</c:v>
                </c:pt>
                <c:pt idx="2">
                  <c:v>3</c:v>
                </c:pt>
                <c:pt idx="3">
                  <c:v>0</c:v>
                </c:pt>
                <c:pt idx="4">
                  <c:v>6</c:v>
                </c:pt>
                <c:pt idx="5">
                  <c:v>5</c:v>
                </c:pt>
                <c:pt idx="6">
                  <c:v>0</c:v>
                </c:pt>
                <c:pt idx="7">
                  <c:v>3</c:v>
                </c:pt>
                <c:pt idx="8">
                  <c:v>0</c:v>
                </c:pt>
                <c:pt idx="9">
                  <c:v>0</c:v>
                </c:pt>
              </c:numCache>
            </c:numRef>
          </c:val>
        </c:ser>
        <c:axId val="194139264"/>
        <c:axId val="194141184"/>
      </c:barChart>
      <c:catAx>
        <c:axId val="194139264"/>
        <c:scaling>
          <c:orientation val="minMax"/>
        </c:scaling>
        <c:axPos val="b"/>
        <c:title>
          <c:tx>
            <c:rich>
              <a:bodyPr/>
              <a:lstStyle/>
              <a:p>
                <a:pPr>
                  <a:defRPr/>
                </a:pPr>
                <a:r>
                  <a:rPr lang="en-US"/>
                  <a:t>Percent Correct Range</a:t>
                </a:r>
              </a:p>
            </c:rich>
          </c:tx>
        </c:title>
        <c:numFmt formatCode="General" sourceLinked="1"/>
        <c:tickLblPos val="nextTo"/>
        <c:crossAx val="194141184"/>
        <c:crosses val="autoZero"/>
        <c:auto val="1"/>
        <c:lblAlgn val="ctr"/>
        <c:lblOffset val="100"/>
      </c:catAx>
      <c:valAx>
        <c:axId val="194141184"/>
        <c:scaling>
          <c:orientation val="minMax"/>
        </c:scaling>
        <c:axPos val="l"/>
        <c:majorGridlines/>
        <c:title>
          <c:tx>
            <c:rich>
              <a:bodyPr rot="-5400000" vert="horz"/>
              <a:lstStyle/>
              <a:p>
                <a:pPr>
                  <a:defRPr/>
                </a:pPr>
                <a:r>
                  <a:rPr lang="en-US"/>
                  <a:t>Number of Students</a:t>
                </a:r>
              </a:p>
            </c:rich>
          </c:tx>
        </c:title>
        <c:numFmt formatCode="General" sourceLinked="1"/>
        <c:tickLblPos val="nextTo"/>
        <c:crossAx val="194139264"/>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Pre/Post Thermal Concept Evaluation</a:t>
            </a:r>
          </a:p>
        </c:rich>
      </c:tx>
    </c:title>
    <c:plotArea>
      <c:layout/>
      <c:barChart>
        <c:barDir val="col"/>
        <c:grouping val="clustered"/>
        <c:ser>
          <c:idx val="0"/>
          <c:order val="0"/>
          <c:tx>
            <c:v>Pre-Test Fall, 2009</c:v>
          </c:tx>
          <c:cat>
            <c:strRef>
              <c:f>'Score Distribution'!$B$4:$B$13</c:f>
              <c:strCache>
                <c:ptCount val="10"/>
                <c:pt idx="0">
                  <c:v>0-10%</c:v>
                </c:pt>
                <c:pt idx="1">
                  <c:v>&lt;10-20%</c:v>
                </c:pt>
                <c:pt idx="2">
                  <c:v>&lt;20-30%</c:v>
                </c:pt>
                <c:pt idx="3">
                  <c:v>&lt;30-40%</c:v>
                </c:pt>
                <c:pt idx="4">
                  <c:v>&lt;40-50%</c:v>
                </c:pt>
                <c:pt idx="5">
                  <c:v>&lt;50-60%</c:v>
                </c:pt>
                <c:pt idx="6">
                  <c:v>&lt;60-70%</c:v>
                </c:pt>
                <c:pt idx="7">
                  <c:v>&lt;70-80%</c:v>
                </c:pt>
                <c:pt idx="8">
                  <c:v>&lt;80-90%</c:v>
                </c:pt>
                <c:pt idx="9">
                  <c:v>&lt;90-100%</c:v>
                </c:pt>
              </c:strCache>
            </c:strRef>
          </c:cat>
          <c:val>
            <c:numRef>
              <c:f>'Score Distribution'!$C$4:$C$13</c:f>
              <c:numCache>
                <c:formatCode>General</c:formatCode>
                <c:ptCount val="10"/>
                <c:pt idx="0">
                  <c:v>0</c:v>
                </c:pt>
                <c:pt idx="1">
                  <c:v>5</c:v>
                </c:pt>
                <c:pt idx="2">
                  <c:v>3</c:v>
                </c:pt>
                <c:pt idx="3">
                  <c:v>3</c:v>
                </c:pt>
                <c:pt idx="4">
                  <c:v>1</c:v>
                </c:pt>
                <c:pt idx="5">
                  <c:v>0</c:v>
                </c:pt>
                <c:pt idx="6">
                  <c:v>1</c:v>
                </c:pt>
                <c:pt idx="7">
                  <c:v>0</c:v>
                </c:pt>
                <c:pt idx="8">
                  <c:v>0</c:v>
                </c:pt>
                <c:pt idx="9">
                  <c:v>0</c:v>
                </c:pt>
              </c:numCache>
            </c:numRef>
          </c:val>
        </c:ser>
        <c:ser>
          <c:idx val="1"/>
          <c:order val="1"/>
          <c:tx>
            <c:v>Post-Test Fall, 2009</c:v>
          </c:tx>
          <c:cat>
            <c:strRef>
              <c:f>'Score Distribution'!$B$4:$B$13</c:f>
              <c:strCache>
                <c:ptCount val="10"/>
                <c:pt idx="0">
                  <c:v>0-10%</c:v>
                </c:pt>
                <c:pt idx="1">
                  <c:v>&lt;10-20%</c:v>
                </c:pt>
                <c:pt idx="2">
                  <c:v>&lt;20-30%</c:v>
                </c:pt>
                <c:pt idx="3">
                  <c:v>&lt;30-40%</c:v>
                </c:pt>
                <c:pt idx="4">
                  <c:v>&lt;40-50%</c:v>
                </c:pt>
                <c:pt idx="5">
                  <c:v>&lt;50-60%</c:v>
                </c:pt>
                <c:pt idx="6">
                  <c:v>&lt;60-70%</c:v>
                </c:pt>
                <c:pt idx="7">
                  <c:v>&lt;70-80%</c:v>
                </c:pt>
                <c:pt idx="8">
                  <c:v>&lt;80-90%</c:v>
                </c:pt>
                <c:pt idx="9">
                  <c:v>&lt;90-100%</c:v>
                </c:pt>
              </c:strCache>
            </c:strRef>
          </c:cat>
          <c:val>
            <c:numRef>
              <c:f>'Score Distribution'!$D$4:$D$13</c:f>
              <c:numCache>
                <c:formatCode>General</c:formatCode>
                <c:ptCount val="10"/>
                <c:pt idx="0">
                  <c:v>0</c:v>
                </c:pt>
                <c:pt idx="1">
                  <c:v>2</c:v>
                </c:pt>
                <c:pt idx="2">
                  <c:v>8</c:v>
                </c:pt>
                <c:pt idx="3">
                  <c:v>2</c:v>
                </c:pt>
                <c:pt idx="4">
                  <c:v>0</c:v>
                </c:pt>
                <c:pt idx="5">
                  <c:v>1</c:v>
                </c:pt>
                <c:pt idx="6">
                  <c:v>0</c:v>
                </c:pt>
                <c:pt idx="7">
                  <c:v>0</c:v>
                </c:pt>
                <c:pt idx="8">
                  <c:v>0</c:v>
                </c:pt>
                <c:pt idx="9">
                  <c:v>0</c:v>
                </c:pt>
              </c:numCache>
            </c:numRef>
          </c:val>
        </c:ser>
        <c:axId val="194453504"/>
        <c:axId val="194455424"/>
      </c:barChart>
      <c:catAx>
        <c:axId val="194453504"/>
        <c:scaling>
          <c:orientation val="minMax"/>
        </c:scaling>
        <c:axPos val="b"/>
        <c:title>
          <c:tx>
            <c:rich>
              <a:bodyPr/>
              <a:lstStyle/>
              <a:p>
                <a:pPr>
                  <a:defRPr/>
                </a:pPr>
                <a:r>
                  <a:rPr lang="en-US"/>
                  <a:t>Percent Correct Range</a:t>
                </a:r>
              </a:p>
            </c:rich>
          </c:tx>
        </c:title>
        <c:numFmt formatCode="General" sourceLinked="1"/>
        <c:tickLblPos val="nextTo"/>
        <c:crossAx val="194455424"/>
        <c:crosses val="autoZero"/>
        <c:auto val="1"/>
        <c:lblAlgn val="ctr"/>
        <c:lblOffset val="100"/>
      </c:catAx>
      <c:valAx>
        <c:axId val="194455424"/>
        <c:scaling>
          <c:orientation val="minMax"/>
        </c:scaling>
        <c:axPos val="l"/>
        <c:majorGridlines/>
        <c:title>
          <c:tx>
            <c:rich>
              <a:bodyPr rot="-5400000" vert="horz"/>
              <a:lstStyle/>
              <a:p>
                <a:pPr>
                  <a:defRPr/>
                </a:pPr>
                <a:r>
                  <a:rPr lang="en-US"/>
                  <a:t>Number of Students</a:t>
                </a:r>
              </a:p>
            </c:rich>
          </c:tx>
        </c:title>
        <c:numFmt formatCode="General" sourceLinked="1"/>
        <c:tickLblPos val="nextTo"/>
        <c:crossAx val="19445350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Survey of Physical Science </vt:lpstr>
    </vt:vector>
  </TitlesOfParts>
  <Company>ECC</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Physical Science </dc:title>
  <dc:subject/>
  <dc:creator>tomlinso</dc:creator>
  <cp:keywords/>
  <dc:description/>
  <cp:lastModifiedBy>Anne Boehmer</cp:lastModifiedBy>
  <cp:revision>2</cp:revision>
  <cp:lastPrinted>2010-07-06T19:07:00Z</cp:lastPrinted>
  <dcterms:created xsi:type="dcterms:W3CDTF">2010-07-14T17:22:00Z</dcterms:created>
  <dcterms:modified xsi:type="dcterms:W3CDTF">2010-07-14T17:22:00Z</dcterms:modified>
</cp:coreProperties>
</file>