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C6D" w:rsidRDefault="002E4C6D" w:rsidP="00C279ED">
      <w:pPr>
        <w:ind w:right="-540"/>
        <w:rPr>
          <w:rFonts w:ascii="Batang" w:eastAsia="Batang" w:hAnsi="Batang"/>
          <w:b/>
          <w:sz w:val="28"/>
          <w:szCs w:val="28"/>
        </w:rPr>
      </w:pPr>
    </w:p>
    <w:p w:rsidR="00D90822" w:rsidRPr="002E4C6D" w:rsidRDefault="00D90822" w:rsidP="00C279ED">
      <w:pPr>
        <w:ind w:right="-540"/>
        <w:rPr>
          <w:rFonts w:ascii="Batang" w:eastAsia="Batang" w:hAnsi="Batang"/>
          <w:b/>
        </w:rPr>
      </w:pPr>
      <w:r w:rsidRPr="002E4C6D">
        <w:rPr>
          <w:rFonts w:ascii="Batang" w:eastAsia="Batang" w:hAnsi="Batang"/>
          <w:b/>
        </w:rPr>
        <w:t xml:space="preserve">East Central College </w:t>
      </w:r>
    </w:p>
    <w:p w:rsidR="00D90822" w:rsidRPr="002E4C6D" w:rsidRDefault="008D0D8A" w:rsidP="00C279ED">
      <w:pPr>
        <w:ind w:right="-540"/>
        <w:rPr>
          <w:rFonts w:ascii="Batang" w:eastAsia="Batang" w:hAnsi="Batang"/>
          <w:b/>
        </w:rPr>
      </w:pPr>
      <w:r w:rsidRPr="002E4C6D">
        <w:rPr>
          <w:rFonts w:ascii="Batang" w:eastAsia="Batang" w:hAnsi="Batang"/>
          <w:b/>
        </w:rPr>
        <w:t xml:space="preserve">Physics and </w:t>
      </w:r>
      <w:r w:rsidR="00D53301" w:rsidRPr="002E4C6D">
        <w:rPr>
          <w:rFonts w:ascii="Batang" w:eastAsia="Batang" w:hAnsi="Batang"/>
          <w:b/>
        </w:rPr>
        <w:t xml:space="preserve">Transfer </w:t>
      </w:r>
      <w:r w:rsidRPr="002E4C6D">
        <w:rPr>
          <w:rFonts w:ascii="Batang" w:eastAsia="Batang" w:hAnsi="Batang"/>
          <w:b/>
        </w:rPr>
        <w:t>Engineering</w:t>
      </w:r>
    </w:p>
    <w:p w:rsidR="00D90822" w:rsidRPr="002E4C6D" w:rsidRDefault="00D90822" w:rsidP="00C279ED">
      <w:pPr>
        <w:ind w:right="-540"/>
        <w:rPr>
          <w:rFonts w:ascii="Batang" w:eastAsia="Batang" w:hAnsi="Batang"/>
          <w:b/>
        </w:rPr>
      </w:pPr>
      <w:r w:rsidRPr="002E4C6D">
        <w:rPr>
          <w:rFonts w:ascii="Batang" w:eastAsia="Batang" w:hAnsi="Batang"/>
          <w:b/>
        </w:rPr>
        <w:t>Assessment Plan</w:t>
      </w:r>
    </w:p>
    <w:p w:rsidR="00D90822" w:rsidRPr="002E4C6D" w:rsidRDefault="00236F28" w:rsidP="00C279ED">
      <w:pPr>
        <w:ind w:right="-540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 xml:space="preserve">Updated </w:t>
      </w:r>
      <w:proofErr w:type="gramStart"/>
      <w:r>
        <w:rPr>
          <w:rFonts w:ascii="Batang" w:eastAsia="Batang" w:hAnsi="Batang"/>
          <w:b/>
        </w:rPr>
        <w:t>Spring</w:t>
      </w:r>
      <w:proofErr w:type="gramEnd"/>
      <w:r>
        <w:rPr>
          <w:rFonts w:ascii="Batang" w:eastAsia="Batang" w:hAnsi="Batang"/>
          <w:b/>
        </w:rPr>
        <w:t xml:space="preserve"> 201</w:t>
      </w:r>
      <w:r w:rsidR="00C04EEF">
        <w:rPr>
          <w:rFonts w:ascii="Batang" w:eastAsia="Batang" w:hAnsi="Batang"/>
          <w:b/>
        </w:rPr>
        <w:t>5</w:t>
      </w:r>
    </w:p>
    <w:p w:rsidR="00212E13" w:rsidRPr="002E4C6D" w:rsidRDefault="00212E13" w:rsidP="008D0D8A">
      <w:pPr>
        <w:ind w:left="1440" w:right="-540"/>
        <w:rPr>
          <w:rFonts w:ascii="Batang" w:eastAsia="Batang" w:hAnsi="Batang"/>
          <w:color w:val="000000"/>
          <w:sz w:val="20"/>
          <w:szCs w:val="20"/>
        </w:rPr>
      </w:pPr>
    </w:p>
    <w:p w:rsidR="008D0D8A" w:rsidRPr="002E4C6D" w:rsidRDefault="008D0D8A" w:rsidP="00B56E76">
      <w:pPr>
        <w:ind w:left="360" w:right="-540"/>
        <w:rPr>
          <w:rFonts w:ascii="Batang" w:eastAsia="Batang" w:hAnsi="Batang"/>
          <w:color w:val="000000"/>
        </w:rPr>
      </w:pPr>
      <w:r w:rsidRPr="002E4C6D">
        <w:rPr>
          <w:rFonts w:ascii="Batang" w:eastAsia="Batang" w:hAnsi="Batang"/>
          <w:color w:val="000000"/>
        </w:rPr>
        <w:t>Individual Course Assessment:</w:t>
      </w:r>
    </w:p>
    <w:p w:rsidR="008D0D8A" w:rsidRPr="002047FB" w:rsidRDefault="00C47302" w:rsidP="00B56E76">
      <w:pPr>
        <w:ind w:left="360" w:right="-540"/>
        <w:rPr>
          <w:rFonts w:ascii="Batang" w:eastAsia="Batang" w:hAnsi="Batang"/>
          <w:color w:val="000000"/>
          <w:sz w:val="22"/>
          <w:szCs w:val="22"/>
        </w:rPr>
      </w:pPr>
      <w:r w:rsidRPr="002047FB">
        <w:rPr>
          <w:rFonts w:ascii="Batang" w:eastAsia="Batang" w:hAnsi="Batang"/>
          <w:color w:val="000000"/>
          <w:sz w:val="22"/>
          <w:szCs w:val="22"/>
        </w:rPr>
        <w:t>Courses will be reviewed and assessment reports submitted every three years in the following rotation, beginning in 2012:</w:t>
      </w:r>
    </w:p>
    <w:p w:rsidR="00C47302" w:rsidRPr="003638D1" w:rsidRDefault="003B63EA" w:rsidP="00C47302">
      <w:pPr>
        <w:ind w:left="2160" w:right="-540" w:firstLine="720"/>
        <w:rPr>
          <w:rFonts w:ascii="Batang" w:eastAsia="Batang" w:hAnsi="Batang"/>
          <w:color w:val="000000"/>
          <w:sz w:val="22"/>
          <w:szCs w:val="22"/>
        </w:rPr>
      </w:pPr>
      <w:r>
        <w:rPr>
          <w:rFonts w:ascii="Batang" w:eastAsia="Batang" w:hAnsi="Batang"/>
          <w:noProof/>
          <w:color w:val="000000"/>
          <w:sz w:val="22"/>
          <w:szCs w:val="22"/>
        </w:rPr>
        <w:drawing>
          <wp:inline distT="0" distB="0" distL="0" distR="0">
            <wp:extent cx="2162810" cy="2162810"/>
            <wp:effectExtent l="0" t="0" r="66040" b="0"/>
            <wp:docPr id="56" name="Diagram 5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56E76" w:rsidRPr="00623B9A" w:rsidRDefault="00B56E76" w:rsidP="00B56E76">
      <w:pPr>
        <w:ind w:left="360" w:right="-540"/>
        <w:rPr>
          <w:rFonts w:ascii="Batang" w:eastAsia="Batang" w:hAnsi="Batang"/>
          <w:sz w:val="22"/>
          <w:szCs w:val="22"/>
        </w:rPr>
      </w:pPr>
      <w:r w:rsidRPr="00623B9A">
        <w:rPr>
          <w:rFonts w:ascii="Batang" w:eastAsia="Batang" w:hAnsi="Batang"/>
          <w:sz w:val="22"/>
          <w:szCs w:val="22"/>
        </w:rPr>
        <w:t>Items utilized for individual course assessment, continuity, and retention will include:</w:t>
      </w:r>
    </w:p>
    <w:p w:rsidR="00B56E76" w:rsidRPr="00623B9A" w:rsidRDefault="00B56E76" w:rsidP="00B56E76">
      <w:pPr>
        <w:ind w:left="360" w:right="-540"/>
        <w:rPr>
          <w:rFonts w:ascii="Batang" w:eastAsia="Batang" w:hAnsi="Batang"/>
          <w:sz w:val="16"/>
          <w:szCs w:val="16"/>
        </w:rPr>
      </w:pPr>
    </w:p>
    <w:p w:rsidR="00B56E76" w:rsidRPr="00623B9A" w:rsidRDefault="00B56E76" w:rsidP="00B56E76">
      <w:pPr>
        <w:numPr>
          <w:ilvl w:val="0"/>
          <w:numId w:val="2"/>
        </w:numPr>
        <w:ind w:right="-540"/>
        <w:rPr>
          <w:rFonts w:ascii="Batang" w:eastAsia="Batang" w:hAnsi="Batang"/>
          <w:sz w:val="22"/>
          <w:szCs w:val="22"/>
        </w:rPr>
      </w:pPr>
      <w:r w:rsidRPr="00623B9A">
        <w:rPr>
          <w:rFonts w:ascii="Batang" w:eastAsia="Batang" w:hAnsi="Batang"/>
          <w:sz w:val="22"/>
          <w:szCs w:val="22"/>
        </w:rPr>
        <w:t xml:space="preserve">Revision of course </w:t>
      </w:r>
      <w:r w:rsidR="00C04EEF">
        <w:rPr>
          <w:rFonts w:ascii="Batang" w:eastAsia="Batang" w:hAnsi="Batang"/>
          <w:sz w:val="22"/>
          <w:szCs w:val="22"/>
        </w:rPr>
        <w:t>competencies and objectives</w:t>
      </w:r>
    </w:p>
    <w:p w:rsidR="00B56E76" w:rsidRPr="00623B9A" w:rsidRDefault="00B56E76" w:rsidP="00B56E76">
      <w:pPr>
        <w:numPr>
          <w:ilvl w:val="0"/>
          <w:numId w:val="2"/>
        </w:numPr>
        <w:ind w:right="-540"/>
        <w:rPr>
          <w:rFonts w:ascii="Batang" w:eastAsia="Batang" w:hAnsi="Batang"/>
          <w:sz w:val="22"/>
          <w:szCs w:val="22"/>
        </w:rPr>
      </w:pPr>
      <w:r w:rsidRPr="00623B9A">
        <w:rPr>
          <w:rFonts w:ascii="Batang" w:eastAsia="Batang" w:hAnsi="Batang"/>
          <w:sz w:val="22"/>
          <w:szCs w:val="22"/>
        </w:rPr>
        <w:lastRenderedPageBreak/>
        <w:t xml:space="preserve">Review of departmental </w:t>
      </w:r>
      <w:r>
        <w:rPr>
          <w:rFonts w:ascii="Batang" w:eastAsia="Batang" w:hAnsi="Batang"/>
          <w:sz w:val="22"/>
          <w:szCs w:val="22"/>
        </w:rPr>
        <w:t>pretests</w:t>
      </w:r>
      <w:r w:rsidRPr="00623B9A">
        <w:rPr>
          <w:rFonts w:ascii="Batang" w:eastAsia="Batang" w:hAnsi="Batang"/>
          <w:sz w:val="22"/>
          <w:szCs w:val="22"/>
        </w:rPr>
        <w:t>/final exams</w:t>
      </w:r>
      <w:r>
        <w:rPr>
          <w:rFonts w:ascii="Batang" w:eastAsia="Batang" w:hAnsi="Batang"/>
          <w:sz w:val="22"/>
          <w:szCs w:val="22"/>
        </w:rPr>
        <w:t xml:space="preserve"> and external exams (where applicable)</w:t>
      </w:r>
    </w:p>
    <w:p w:rsidR="00B56E76" w:rsidRPr="00623B9A" w:rsidRDefault="00B56E76" w:rsidP="00B56E76">
      <w:pPr>
        <w:numPr>
          <w:ilvl w:val="1"/>
          <w:numId w:val="2"/>
        </w:numPr>
        <w:ind w:right="-540"/>
        <w:rPr>
          <w:rFonts w:ascii="Batang" w:eastAsia="Batang" w:hAnsi="Batang"/>
          <w:sz w:val="22"/>
          <w:szCs w:val="22"/>
        </w:rPr>
      </w:pPr>
      <w:r w:rsidRPr="00623B9A">
        <w:rPr>
          <w:rFonts w:ascii="Batang" w:eastAsia="Batang" w:hAnsi="Batang"/>
          <w:sz w:val="22"/>
          <w:szCs w:val="22"/>
        </w:rPr>
        <w:t xml:space="preserve">item analysis </w:t>
      </w:r>
    </w:p>
    <w:p w:rsidR="00B56E76" w:rsidRDefault="00B56E76" w:rsidP="00B56E76">
      <w:pPr>
        <w:numPr>
          <w:ilvl w:val="1"/>
          <w:numId w:val="2"/>
        </w:numPr>
        <w:ind w:right="-540"/>
        <w:rPr>
          <w:rFonts w:ascii="Batang" w:eastAsia="Batang" w:hAnsi="Batang"/>
          <w:sz w:val="22"/>
          <w:szCs w:val="22"/>
        </w:rPr>
      </w:pPr>
      <w:r w:rsidRPr="00623B9A">
        <w:rPr>
          <w:rFonts w:ascii="Batang" w:eastAsia="Batang" w:hAnsi="Batang"/>
          <w:sz w:val="22"/>
          <w:szCs w:val="22"/>
        </w:rPr>
        <w:t>alignment with course objectives</w:t>
      </w:r>
    </w:p>
    <w:p w:rsidR="00B56E76" w:rsidRPr="00674273" w:rsidRDefault="00674273" w:rsidP="00B56E76">
      <w:pPr>
        <w:numPr>
          <w:ilvl w:val="1"/>
          <w:numId w:val="2"/>
        </w:numPr>
        <w:ind w:right="-540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color w:val="000000"/>
          <w:sz w:val="22"/>
          <w:szCs w:val="22"/>
        </w:rPr>
        <w:t>Force</w:t>
      </w:r>
      <w:r w:rsidR="00B56E76" w:rsidRPr="00674273">
        <w:rPr>
          <w:rFonts w:ascii="Batang" w:eastAsia="Batang" w:hAnsi="Batang"/>
          <w:color w:val="000000"/>
          <w:sz w:val="22"/>
          <w:szCs w:val="22"/>
        </w:rPr>
        <w:t xml:space="preserve"> Concept Inventory test produced by Arizona State University will be utilized in Survey of Physical Science and Introduction to Physics </w:t>
      </w:r>
    </w:p>
    <w:p w:rsidR="00B56E76" w:rsidRPr="005C7FD0" w:rsidRDefault="00B56E76" w:rsidP="00B56E76">
      <w:pPr>
        <w:numPr>
          <w:ilvl w:val="1"/>
          <w:numId w:val="2"/>
        </w:numPr>
        <w:ind w:right="-540"/>
        <w:rPr>
          <w:rFonts w:ascii="Batang" w:eastAsia="Batang" w:hAnsi="Batang"/>
          <w:sz w:val="22"/>
          <w:szCs w:val="22"/>
        </w:rPr>
      </w:pPr>
      <w:r w:rsidRPr="005C7FD0">
        <w:rPr>
          <w:rFonts w:ascii="Batang" w:eastAsia="Batang" w:hAnsi="Batang"/>
          <w:sz w:val="22"/>
          <w:szCs w:val="22"/>
        </w:rPr>
        <w:t xml:space="preserve">Force Concept Inventory, produced by Arizona State University administered in College Physics and General Physics </w:t>
      </w:r>
    </w:p>
    <w:p w:rsidR="00B56E76" w:rsidRPr="005C7FD0" w:rsidRDefault="00B56E76" w:rsidP="00B56E76">
      <w:pPr>
        <w:numPr>
          <w:ilvl w:val="1"/>
          <w:numId w:val="2"/>
        </w:numPr>
        <w:ind w:right="-540"/>
        <w:rPr>
          <w:rFonts w:ascii="Batang" w:eastAsia="Batang" w:hAnsi="Batang"/>
          <w:sz w:val="22"/>
          <w:szCs w:val="22"/>
        </w:rPr>
      </w:pPr>
      <w:r w:rsidRPr="005C7FD0">
        <w:rPr>
          <w:rFonts w:ascii="Batang" w:eastAsia="Batang" w:hAnsi="Batang"/>
          <w:sz w:val="22"/>
          <w:szCs w:val="22"/>
        </w:rPr>
        <w:t>Missouri S&amp;T’s EE 281 Circuit exam for Intro to Circuits</w:t>
      </w:r>
    </w:p>
    <w:p w:rsidR="003F1DBB" w:rsidRDefault="00B56E76" w:rsidP="00B56E76">
      <w:pPr>
        <w:numPr>
          <w:ilvl w:val="0"/>
          <w:numId w:val="3"/>
        </w:numPr>
        <w:tabs>
          <w:tab w:val="clear" w:pos="2265"/>
        </w:tabs>
        <w:ind w:left="1440" w:right="-540"/>
        <w:rPr>
          <w:rFonts w:ascii="Batang" w:eastAsia="Batang" w:hAnsi="Batang"/>
          <w:sz w:val="22"/>
          <w:szCs w:val="22"/>
        </w:rPr>
      </w:pPr>
      <w:r w:rsidRPr="00623B9A">
        <w:rPr>
          <w:rFonts w:ascii="Batang" w:eastAsia="Batang" w:hAnsi="Batang"/>
          <w:sz w:val="22"/>
          <w:szCs w:val="22"/>
        </w:rPr>
        <w:t xml:space="preserve">Success rates </w:t>
      </w:r>
      <w:r w:rsidR="003F1DBB">
        <w:rPr>
          <w:rFonts w:ascii="Batang" w:eastAsia="Batang" w:hAnsi="Batang"/>
          <w:sz w:val="22"/>
          <w:szCs w:val="22"/>
        </w:rPr>
        <w:t>in prerequisite courses</w:t>
      </w:r>
    </w:p>
    <w:p w:rsidR="00B56E76" w:rsidRPr="00623B9A" w:rsidRDefault="003F1DBB" w:rsidP="00B56E76">
      <w:pPr>
        <w:numPr>
          <w:ilvl w:val="0"/>
          <w:numId w:val="3"/>
        </w:numPr>
        <w:tabs>
          <w:tab w:val="clear" w:pos="2265"/>
        </w:tabs>
        <w:ind w:left="1440" w:right="-540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22"/>
          <w:szCs w:val="22"/>
        </w:rPr>
        <w:t xml:space="preserve">Success rates in </w:t>
      </w:r>
      <w:r w:rsidR="00B56E76">
        <w:rPr>
          <w:rFonts w:ascii="Batang" w:eastAsia="Batang" w:hAnsi="Batang"/>
          <w:sz w:val="22"/>
          <w:szCs w:val="22"/>
        </w:rPr>
        <w:t xml:space="preserve">subsequent </w:t>
      </w:r>
      <w:r w:rsidR="00B56E76" w:rsidRPr="00623B9A">
        <w:rPr>
          <w:rFonts w:ascii="Batang" w:eastAsia="Batang" w:hAnsi="Batang"/>
          <w:sz w:val="22"/>
          <w:szCs w:val="22"/>
        </w:rPr>
        <w:t>courses</w:t>
      </w:r>
    </w:p>
    <w:p w:rsidR="00B56E76" w:rsidRDefault="00B56E76" w:rsidP="00B56E76">
      <w:pPr>
        <w:numPr>
          <w:ilvl w:val="0"/>
          <w:numId w:val="3"/>
        </w:numPr>
        <w:tabs>
          <w:tab w:val="clear" w:pos="2265"/>
        </w:tabs>
        <w:ind w:left="1440" w:right="-540"/>
        <w:rPr>
          <w:rFonts w:ascii="Batang" w:eastAsia="Batang" w:hAnsi="Batang"/>
          <w:sz w:val="22"/>
          <w:szCs w:val="22"/>
        </w:rPr>
      </w:pPr>
      <w:r w:rsidRPr="00623B9A">
        <w:rPr>
          <w:rFonts w:ascii="Batang" w:eastAsia="Batang" w:hAnsi="Batang"/>
          <w:sz w:val="22"/>
          <w:szCs w:val="22"/>
        </w:rPr>
        <w:t>CAAP/other embedded assessments in selected courses</w:t>
      </w:r>
    </w:p>
    <w:p w:rsidR="00B56E76" w:rsidRDefault="00B56E76" w:rsidP="00B56E76">
      <w:pPr>
        <w:numPr>
          <w:ilvl w:val="0"/>
          <w:numId w:val="3"/>
        </w:numPr>
        <w:tabs>
          <w:tab w:val="clear" w:pos="2265"/>
        </w:tabs>
        <w:ind w:left="1440" w:right="-540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color w:val="000000"/>
          <w:sz w:val="22"/>
          <w:szCs w:val="22"/>
        </w:rPr>
        <w:t>T</w:t>
      </w:r>
      <w:r w:rsidRPr="002047FB">
        <w:rPr>
          <w:rFonts w:ascii="Batang" w:eastAsia="Batang" w:hAnsi="Batang"/>
          <w:color w:val="000000"/>
          <w:sz w:val="22"/>
          <w:szCs w:val="22"/>
        </w:rPr>
        <w:t xml:space="preserve">ransfer student survey is administered to students after their first year at Missouri S&amp;T </w:t>
      </w:r>
    </w:p>
    <w:p w:rsidR="00B56E76" w:rsidRPr="00623B9A" w:rsidRDefault="00B56E76" w:rsidP="00B56E76">
      <w:pPr>
        <w:ind w:left="1440" w:right="-540"/>
        <w:rPr>
          <w:rFonts w:ascii="Batang" w:eastAsia="Batang" w:hAnsi="Batang"/>
          <w:sz w:val="22"/>
          <w:szCs w:val="22"/>
        </w:rPr>
      </w:pPr>
    </w:p>
    <w:p w:rsidR="00B56E76" w:rsidRDefault="00B56E76" w:rsidP="00B56E76">
      <w:pPr>
        <w:ind w:left="360" w:right="-540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22"/>
          <w:szCs w:val="22"/>
        </w:rPr>
        <w:t>Course assessment outlined above will include all sections offered in all formats (traditional and alternative), and at all locations (main campus, and all satellite location offerings) taught by full-time or adjunct faculty (where applicable).</w:t>
      </w:r>
    </w:p>
    <w:p w:rsidR="003F1DBB" w:rsidRDefault="003F1DBB" w:rsidP="00B56E76">
      <w:pPr>
        <w:ind w:left="360" w:right="-540"/>
        <w:rPr>
          <w:rFonts w:ascii="Batang" w:eastAsia="Batang" w:hAnsi="Batang"/>
          <w:sz w:val="22"/>
          <w:szCs w:val="22"/>
        </w:rPr>
      </w:pPr>
    </w:p>
    <w:p w:rsidR="005C7FD0" w:rsidRDefault="005C7FD0" w:rsidP="00B56E76">
      <w:pPr>
        <w:ind w:left="360" w:right="-540"/>
        <w:rPr>
          <w:rFonts w:ascii="Batang" w:eastAsia="Batang" w:hAnsi="Batang"/>
          <w:sz w:val="22"/>
          <w:szCs w:val="22"/>
        </w:rPr>
      </w:pPr>
    </w:p>
    <w:p w:rsidR="005C7FD0" w:rsidRDefault="005C7FD0" w:rsidP="00B56E76">
      <w:pPr>
        <w:ind w:left="360" w:right="-540"/>
        <w:rPr>
          <w:rFonts w:ascii="Batang" w:eastAsia="Batang" w:hAnsi="Batang"/>
          <w:sz w:val="22"/>
          <w:szCs w:val="22"/>
        </w:rPr>
      </w:pPr>
    </w:p>
    <w:p w:rsidR="008D0D8A" w:rsidRPr="002E4C6D" w:rsidRDefault="008D0D8A" w:rsidP="00B56E76">
      <w:pPr>
        <w:ind w:left="360" w:right="-540"/>
        <w:rPr>
          <w:rFonts w:ascii="Batang" w:eastAsia="Batang" w:hAnsi="Batang"/>
          <w:color w:val="000000"/>
        </w:rPr>
      </w:pPr>
      <w:r w:rsidRPr="002E4C6D">
        <w:rPr>
          <w:rFonts w:ascii="Batang" w:eastAsia="Batang" w:hAnsi="Batang"/>
          <w:color w:val="000000"/>
        </w:rPr>
        <w:t>CLO Assessment:</w:t>
      </w:r>
    </w:p>
    <w:p w:rsidR="008D0D8A" w:rsidRPr="00824554" w:rsidRDefault="00C100D8" w:rsidP="00B56E76">
      <w:pPr>
        <w:ind w:left="360" w:right="-540"/>
        <w:rPr>
          <w:rFonts w:ascii="Batang" w:eastAsia="Batang" w:hAnsi="Batang"/>
          <w:sz w:val="22"/>
          <w:szCs w:val="22"/>
        </w:rPr>
      </w:pPr>
      <w:r w:rsidRPr="00111D25">
        <w:rPr>
          <w:rFonts w:ascii="Batang" w:eastAsia="Batang" w:hAnsi="Batang"/>
          <w:color w:val="000000"/>
          <w:sz w:val="22"/>
          <w:szCs w:val="22"/>
        </w:rPr>
        <w:t xml:space="preserve">The departments will assess the CLO of </w:t>
      </w:r>
      <w:r w:rsidR="00A21216">
        <w:rPr>
          <w:rFonts w:ascii="Batang" w:eastAsia="Batang" w:hAnsi="Batang"/>
          <w:color w:val="000000"/>
          <w:sz w:val="22"/>
          <w:szCs w:val="22"/>
        </w:rPr>
        <w:t>Critical/</w:t>
      </w:r>
      <w:r w:rsidR="00A21216" w:rsidRPr="00111D25">
        <w:rPr>
          <w:rFonts w:ascii="Batang" w:eastAsia="Batang" w:hAnsi="Batang"/>
          <w:color w:val="000000"/>
          <w:sz w:val="22"/>
          <w:szCs w:val="22"/>
        </w:rPr>
        <w:t xml:space="preserve">Creative </w:t>
      </w:r>
      <w:r w:rsidRPr="00111D25">
        <w:rPr>
          <w:rFonts w:ascii="Batang" w:eastAsia="Batang" w:hAnsi="Batang"/>
          <w:color w:val="000000"/>
          <w:sz w:val="22"/>
          <w:szCs w:val="22"/>
        </w:rPr>
        <w:t xml:space="preserve">Thinking by administering the Science Reasoning </w:t>
      </w:r>
      <w:r w:rsidR="00236F28">
        <w:rPr>
          <w:rFonts w:ascii="Batang" w:eastAsia="Batang" w:hAnsi="Batang"/>
          <w:color w:val="000000"/>
          <w:sz w:val="22"/>
          <w:szCs w:val="22"/>
        </w:rPr>
        <w:t>CAAP test</w:t>
      </w:r>
      <w:r w:rsidR="00D53301" w:rsidRPr="00111D25">
        <w:rPr>
          <w:rFonts w:ascii="Batang" w:eastAsia="Batang" w:hAnsi="Batang"/>
          <w:color w:val="000000"/>
          <w:sz w:val="22"/>
          <w:szCs w:val="22"/>
        </w:rPr>
        <w:t xml:space="preserve"> on a rotating basis </w:t>
      </w:r>
      <w:r w:rsidRPr="00111D25">
        <w:rPr>
          <w:rFonts w:ascii="Batang" w:eastAsia="Batang" w:hAnsi="Batang"/>
          <w:color w:val="000000"/>
          <w:sz w:val="22"/>
          <w:szCs w:val="22"/>
        </w:rPr>
        <w:t>in Intro Physics</w:t>
      </w:r>
      <w:r w:rsidR="00A21216">
        <w:rPr>
          <w:rFonts w:ascii="Batang" w:eastAsia="Batang" w:hAnsi="Batang"/>
          <w:color w:val="000000"/>
          <w:sz w:val="22"/>
          <w:szCs w:val="22"/>
        </w:rPr>
        <w:t>, Survey</w:t>
      </w:r>
      <w:r w:rsidRPr="00111D25">
        <w:rPr>
          <w:rFonts w:ascii="Batang" w:eastAsia="Batang" w:hAnsi="Batang"/>
          <w:color w:val="000000"/>
          <w:sz w:val="22"/>
          <w:szCs w:val="22"/>
        </w:rPr>
        <w:t xml:space="preserve"> Physical Science, College Phy</w:t>
      </w:r>
      <w:r w:rsidR="00D53301" w:rsidRPr="00111D25">
        <w:rPr>
          <w:rFonts w:ascii="Batang" w:eastAsia="Batang" w:hAnsi="Batang"/>
          <w:color w:val="000000"/>
          <w:sz w:val="22"/>
          <w:szCs w:val="22"/>
        </w:rPr>
        <w:t>sics I</w:t>
      </w:r>
      <w:r w:rsidRPr="00111D25">
        <w:rPr>
          <w:rFonts w:ascii="Batang" w:eastAsia="Batang" w:hAnsi="Batang"/>
          <w:color w:val="000000"/>
          <w:sz w:val="22"/>
          <w:szCs w:val="22"/>
        </w:rPr>
        <w:t>, and General Physics I.</w:t>
      </w:r>
      <w:r w:rsidR="00236F28">
        <w:rPr>
          <w:rFonts w:ascii="Batang" w:eastAsia="Batang" w:hAnsi="Batang"/>
          <w:color w:val="000000"/>
          <w:sz w:val="22"/>
          <w:szCs w:val="22"/>
        </w:rPr>
        <w:t xml:space="preserve">  </w:t>
      </w:r>
      <w:r w:rsidR="00CE357B">
        <w:rPr>
          <w:rFonts w:ascii="Batang" w:eastAsia="Batang" w:hAnsi="Batang"/>
          <w:color w:val="000000"/>
          <w:sz w:val="22"/>
          <w:szCs w:val="22"/>
        </w:rPr>
        <w:t>Following East Central’s established rotation, s</w:t>
      </w:r>
      <w:r w:rsidR="00236F28" w:rsidRPr="00824554">
        <w:rPr>
          <w:rFonts w:ascii="Batang" w:eastAsia="Batang" w:hAnsi="Batang"/>
          <w:sz w:val="22"/>
          <w:szCs w:val="22"/>
        </w:rPr>
        <w:t xml:space="preserve">tarting </w:t>
      </w:r>
      <w:proofErr w:type="gramStart"/>
      <w:r w:rsidR="00236F28" w:rsidRPr="00824554">
        <w:rPr>
          <w:rFonts w:ascii="Batang" w:eastAsia="Batang" w:hAnsi="Batang"/>
          <w:sz w:val="22"/>
          <w:szCs w:val="22"/>
        </w:rPr>
        <w:t>Fall</w:t>
      </w:r>
      <w:proofErr w:type="gramEnd"/>
      <w:r w:rsidR="00236F28" w:rsidRPr="00824554">
        <w:rPr>
          <w:rFonts w:ascii="Batang" w:eastAsia="Batang" w:hAnsi="Batang"/>
          <w:sz w:val="22"/>
          <w:szCs w:val="22"/>
        </w:rPr>
        <w:t xml:space="preserve"> 201</w:t>
      </w:r>
      <w:r w:rsidR="00B56E76">
        <w:rPr>
          <w:rFonts w:ascii="Batang" w:eastAsia="Batang" w:hAnsi="Batang"/>
          <w:sz w:val="22"/>
          <w:szCs w:val="22"/>
        </w:rPr>
        <w:t>4</w:t>
      </w:r>
      <w:r w:rsidR="00236F28" w:rsidRPr="00824554">
        <w:rPr>
          <w:rFonts w:ascii="Batang" w:eastAsia="Batang" w:hAnsi="Batang"/>
          <w:sz w:val="22"/>
          <w:szCs w:val="22"/>
        </w:rPr>
        <w:t xml:space="preserve">, the Science Reasoning CAAP test will be administered as an entry skills assessment with subsequent testing every </w:t>
      </w:r>
      <w:r w:rsidR="00B56E76">
        <w:rPr>
          <w:rFonts w:ascii="Batang" w:eastAsia="Batang" w:hAnsi="Batang"/>
          <w:sz w:val="22"/>
          <w:szCs w:val="22"/>
        </w:rPr>
        <w:t>4</w:t>
      </w:r>
      <w:r w:rsidR="00236F28" w:rsidRPr="00824554">
        <w:rPr>
          <w:rFonts w:ascii="Batang" w:eastAsia="Batang" w:hAnsi="Batang"/>
          <w:sz w:val="22"/>
          <w:szCs w:val="22"/>
        </w:rPr>
        <w:t xml:space="preserve"> years.  Starting </w:t>
      </w:r>
      <w:proofErr w:type="gramStart"/>
      <w:r w:rsidR="00236F28" w:rsidRPr="00824554">
        <w:rPr>
          <w:rFonts w:ascii="Batang" w:eastAsia="Batang" w:hAnsi="Batang"/>
          <w:sz w:val="22"/>
          <w:szCs w:val="22"/>
        </w:rPr>
        <w:t>Spring</w:t>
      </w:r>
      <w:proofErr w:type="gramEnd"/>
      <w:r w:rsidR="00236F28" w:rsidRPr="00824554">
        <w:rPr>
          <w:rFonts w:ascii="Batang" w:eastAsia="Batang" w:hAnsi="Batang"/>
          <w:sz w:val="22"/>
          <w:szCs w:val="22"/>
        </w:rPr>
        <w:t xml:space="preserve"> 201</w:t>
      </w:r>
      <w:r w:rsidR="00B56E76">
        <w:rPr>
          <w:rFonts w:ascii="Batang" w:eastAsia="Batang" w:hAnsi="Batang"/>
          <w:sz w:val="22"/>
          <w:szCs w:val="22"/>
        </w:rPr>
        <w:t>6</w:t>
      </w:r>
      <w:r w:rsidR="00236F28" w:rsidRPr="00824554">
        <w:rPr>
          <w:rFonts w:ascii="Batang" w:eastAsia="Batang" w:hAnsi="Batang"/>
          <w:sz w:val="22"/>
          <w:szCs w:val="22"/>
        </w:rPr>
        <w:t xml:space="preserve"> post-tests using the Science Reasoning test will be administered in previous designated classes with repeated assessment every </w:t>
      </w:r>
      <w:r w:rsidR="00B56E76">
        <w:rPr>
          <w:rFonts w:ascii="Batang" w:eastAsia="Batang" w:hAnsi="Batang"/>
          <w:sz w:val="22"/>
          <w:szCs w:val="22"/>
        </w:rPr>
        <w:t>4</w:t>
      </w:r>
      <w:r w:rsidR="00236F28" w:rsidRPr="00824554">
        <w:rPr>
          <w:rFonts w:ascii="Batang" w:eastAsia="Batang" w:hAnsi="Batang"/>
          <w:sz w:val="22"/>
          <w:szCs w:val="22"/>
        </w:rPr>
        <w:t xml:space="preserve"> years.</w:t>
      </w:r>
    </w:p>
    <w:p w:rsidR="00C100D8" w:rsidRPr="00111D25" w:rsidRDefault="00C100D8" w:rsidP="008D0D8A">
      <w:pPr>
        <w:ind w:left="720" w:right="-540"/>
        <w:rPr>
          <w:rFonts w:ascii="Batang" w:eastAsia="Batang" w:hAnsi="Batang"/>
          <w:color w:val="000000"/>
          <w:sz w:val="22"/>
          <w:szCs w:val="22"/>
        </w:rPr>
      </w:pPr>
    </w:p>
    <w:p w:rsidR="00C100D8" w:rsidRPr="00111D25" w:rsidRDefault="00C100D8" w:rsidP="00CE357B">
      <w:pPr>
        <w:tabs>
          <w:tab w:val="left" w:pos="360"/>
        </w:tabs>
        <w:ind w:left="360" w:right="-540"/>
        <w:rPr>
          <w:rFonts w:ascii="Batang" w:eastAsia="Batang" w:hAnsi="Batang"/>
          <w:color w:val="000000"/>
          <w:sz w:val="22"/>
          <w:szCs w:val="22"/>
        </w:rPr>
      </w:pPr>
      <w:r w:rsidRPr="00111D25">
        <w:rPr>
          <w:rFonts w:ascii="Batang" w:eastAsia="Batang" w:hAnsi="Batang"/>
          <w:color w:val="000000"/>
          <w:sz w:val="22"/>
          <w:szCs w:val="22"/>
        </w:rPr>
        <w:t xml:space="preserve">The institution’s CLOs </w:t>
      </w:r>
      <w:r w:rsidR="00847318">
        <w:rPr>
          <w:rFonts w:ascii="Batang" w:eastAsia="Batang" w:hAnsi="Batang"/>
          <w:color w:val="000000"/>
          <w:sz w:val="22"/>
          <w:szCs w:val="22"/>
        </w:rPr>
        <w:t xml:space="preserve">for </w:t>
      </w:r>
      <w:r w:rsidRPr="00111D25">
        <w:rPr>
          <w:rFonts w:ascii="Batang" w:eastAsia="Batang" w:hAnsi="Batang"/>
          <w:color w:val="000000"/>
          <w:sz w:val="22"/>
          <w:szCs w:val="22"/>
          <w:u w:val="single"/>
        </w:rPr>
        <w:t>Ethics and Social Responsibility</w:t>
      </w:r>
      <w:r w:rsidRPr="00111D25">
        <w:rPr>
          <w:rFonts w:ascii="Batang" w:eastAsia="Batang" w:hAnsi="Batang"/>
          <w:color w:val="000000"/>
          <w:sz w:val="22"/>
          <w:szCs w:val="22"/>
        </w:rPr>
        <w:t xml:space="preserve"> </w:t>
      </w:r>
      <w:r w:rsidR="00F52E1C" w:rsidRPr="00111D25">
        <w:rPr>
          <w:rFonts w:ascii="Batang" w:eastAsia="Batang" w:hAnsi="Batang"/>
          <w:color w:val="000000"/>
          <w:sz w:val="22"/>
          <w:szCs w:val="22"/>
        </w:rPr>
        <w:t xml:space="preserve">in the </w:t>
      </w:r>
      <w:r w:rsidR="00A21216">
        <w:rPr>
          <w:rFonts w:ascii="Batang" w:eastAsia="Batang" w:hAnsi="Batang"/>
          <w:sz w:val="22"/>
          <w:szCs w:val="22"/>
        </w:rPr>
        <w:t>Intro</w:t>
      </w:r>
      <w:r w:rsidR="00F52E1C" w:rsidRPr="0002156E">
        <w:rPr>
          <w:rFonts w:ascii="Batang" w:eastAsia="Batang" w:hAnsi="Batang"/>
          <w:sz w:val="22"/>
          <w:szCs w:val="22"/>
        </w:rPr>
        <w:t xml:space="preserve"> Engineering Design</w:t>
      </w:r>
      <w:r w:rsidR="00187703" w:rsidRPr="00111D25">
        <w:rPr>
          <w:rFonts w:ascii="Batang" w:eastAsia="Batang" w:hAnsi="Batang"/>
          <w:color w:val="000000"/>
          <w:sz w:val="22"/>
          <w:szCs w:val="22"/>
        </w:rPr>
        <w:t xml:space="preserve"> using </w:t>
      </w:r>
      <w:r w:rsidR="00520DA4" w:rsidRPr="00111D25">
        <w:rPr>
          <w:rFonts w:ascii="Batang" w:eastAsia="Batang" w:hAnsi="Batang"/>
          <w:color w:val="000000"/>
          <w:sz w:val="22"/>
          <w:szCs w:val="22"/>
        </w:rPr>
        <w:t>the assessment tool developed by the AQIP action project committee,</w:t>
      </w:r>
      <w:r w:rsidR="00236F28">
        <w:rPr>
          <w:rFonts w:ascii="Batang" w:eastAsia="Batang" w:hAnsi="Batang"/>
          <w:color w:val="000000"/>
          <w:sz w:val="22"/>
          <w:szCs w:val="22"/>
        </w:rPr>
        <w:t xml:space="preserve"> </w:t>
      </w:r>
      <w:r w:rsidR="00236F28" w:rsidRPr="00824554">
        <w:rPr>
          <w:rFonts w:ascii="Batang" w:eastAsia="Batang" w:hAnsi="Batang"/>
          <w:sz w:val="22"/>
          <w:szCs w:val="22"/>
        </w:rPr>
        <w:t xml:space="preserve">will be administered annually. </w:t>
      </w:r>
    </w:p>
    <w:p w:rsidR="008D0D8A" w:rsidRDefault="008D0D8A" w:rsidP="008D0D8A">
      <w:pPr>
        <w:ind w:left="720" w:right="-540"/>
        <w:rPr>
          <w:rFonts w:ascii="Batang" w:eastAsia="Batang" w:hAnsi="Batang"/>
          <w:color w:val="000000"/>
          <w:sz w:val="20"/>
          <w:szCs w:val="20"/>
        </w:rPr>
      </w:pPr>
    </w:p>
    <w:p w:rsidR="005C7FD0" w:rsidRDefault="005C7FD0" w:rsidP="008D0D8A">
      <w:pPr>
        <w:ind w:left="720" w:right="-540"/>
        <w:rPr>
          <w:rFonts w:ascii="Batang" w:eastAsia="Batang" w:hAnsi="Batang"/>
          <w:color w:val="000000"/>
          <w:sz w:val="20"/>
          <w:szCs w:val="20"/>
        </w:rPr>
      </w:pPr>
    </w:p>
    <w:p w:rsidR="008D0D8A" w:rsidRPr="002E4C6D" w:rsidRDefault="008D0D8A" w:rsidP="00CE357B">
      <w:pPr>
        <w:ind w:left="360" w:right="-540"/>
        <w:rPr>
          <w:rFonts w:ascii="Batang" w:eastAsia="Batang" w:hAnsi="Batang"/>
          <w:color w:val="000000"/>
        </w:rPr>
      </w:pPr>
      <w:r w:rsidRPr="002E4C6D">
        <w:rPr>
          <w:rFonts w:ascii="Batang" w:eastAsia="Batang" w:hAnsi="Batang"/>
          <w:color w:val="000000"/>
        </w:rPr>
        <w:t>Program Review Schedule:</w:t>
      </w:r>
    </w:p>
    <w:p w:rsidR="00CE357B" w:rsidRDefault="00CE357B" w:rsidP="00CE357B">
      <w:pPr>
        <w:ind w:left="360" w:right="-540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22"/>
          <w:szCs w:val="22"/>
        </w:rPr>
        <w:t xml:space="preserve">In accordance with East Central College’s schedule of divisional program review, </w:t>
      </w:r>
      <w:r w:rsidRPr="00111D25">
        <w:rPr>
          <w:rFonts w:ascii="Batang" w:eastAsia="Batang" w:hAnsi="Batang"/>
          <w:color w:val="000000"/>
          <w:sz w:val="22"/>
          <w:szCs w:val="22"/>
        </w:rPr>
        <w:t xml:space="preserve">Physics and </w:t>
      </w:r>
      <w:r>
        <w:rPr>
          <w:rFonts w:ascii="Batang" w:eastAsia="Batang" w:hAnsi="Batang"/>
          <w:color w:val="000000"/>
          <w:sz w:val="22"/>
          <w:szCs w:val="22"/>
        </w:rPr>
        <w:t xml:space="preserve">Transfer </w:t>
      </w:r>
      <w:r w:rsidRPr="00111D25">
        <w:rPr>
          <w:rFonts w:ascii="Batang" w:eastAsia="Batang" w:hAnsi="Batang"/>
          <w:color w:val="000000"/>
          <w:sz w:val="22"/>
          <w:szCs w:val="22"/>
        </w:rPr>
        <w:t xml:space="preserve">Engineering will report </w:t>
      </w:r>
      <w:r w:rsidR="009100F9">
        <w:rPr>
          <w:rFonts w:ascii="Batang" w:eastAsia="Batang" w:hAnsi="Batang"/>
          <w:color w:val="000000"/>
          <w:sz w:val="22"/>
          <w:szCs w:val="22"/>
        </w:rPr>
        <w:t xml:space="preserve">every five years.  </w:t>
      </w:r>
      <w:r>
        <w:rPr>
          <w:rFonts w:ascii="Batang" w:eastAsia="Batang" w:hAnsi="Batang"/>
          <w:color w:val="000000"/>
          <w:sz w:val="22"/>
          <w:szCs w:val="22"/>
        </w:rPr>
        <w:t xml:space="preserve">Non-majors Physics </w:t>
      </w:r>
      <w:r w:rsidR="009100F9">
        <w:rPr>
          <w:rFonts w:ascii="Batang" w:eastAsia="Batang" w:hAnsi="Batang"/>
          <w:color w:val="000000"/>
          <w:sz w:val="22"/>
          <w:szCs w:val="22"/>
        </w:rPr>
        <w:t xml:space="preserve">is scheduled for 2014 </w:t>
      </w:r>
      <w:r>
        <w:rPr>
          <w:rFonts w:ascii="Batang" w:eastAsia="Batang" w:hAnsi="Batang"/>
          <w:color w:val="000000"/>
          <w:sz w:val="22"/>
          <w:szCs w:val="22"/>
        </w:rPr>
        <w:t>and Transfer Engineering</w:t>
      </w:r>
      <w:r w:rsidR="009100F9">
        <w:rPr>
          <w:rFonts w:ascii="Batang" w:eastAsia="Batang" w:hAnsi="Batang"/>
          <w:color w:val="000000"/>
          <w:sz w:val="22"/>
          <w:szCs w:val="22"/>
        </w:rPr>
        <w:t xml:space="preserve"> (which includes General Physics and the Calculus Sequence) in 2016.  </w:t>
      </w:r>
      <w:r>
        <w:rPr>
          <w:rFonts w:ascii="Batang" w:eastAsia="Batang" w:hAnsi="Batang"/>
          <w:sz w:val="22"/>
          <w:szCs w:val="22"/>
        </w:rPr>
        <w:t>The review will be presented to and reviewed by a committee of internal and external constituents and include but not be limited to items such as:</w:t>
      </w:r>
    </w:p>
    <w:p w:rsidR="00CE357B" w:rsidRDefault="00CE357B" w:rsidP="00CE357B">
      <w:pPr>
        <w:numPr>
          <w:ilvl w:val="0"/>
          <w:numId w:val="9"/>
        </w:numPr>
        <w:ind w:left="1440" w:right="-540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22"/>
          <w:szCs w:val="22"/>
        </w:rPr>
        <w:t xml:space="preserve">Program mission </w:t>
      </w:r>
    </w:p>
    <w:p w:rsidR="00CE357B" w:rsidRDefault="00CE357B" w:rsidP="00CE357B">
      <w:pPr>
        <w:numPr>
          <w:ilvl w:val="0"/>
          <w:numId w:val="9"/>
        </w:numPr>
        <w:ind w:left="1440" w:right="-540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22"/>
          <w:szCs w:val="22"/>
        </w:rPr>
        <w:t xml:space="preserve">Staffing and organization </w:t>
      </w:r>
    </w:p>
    <w:p w:rsidR="00CE357B" w:rsidRDefault="00CE357B" w:rsidP="00CE357B">
      <w:pPr>
        <w:numPr>
          <w:ilvl w:val="0"/>
          <w:numId w:val="9"/>
        </w:numPr>
        <w:ind w:left="1440" w:right="-540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22"/>
          <w:szCs w:val="22"/>
        </w:rPr>
        <w:t xml:space="preserve">Learning Outcomes </w:t>
      </w:r>
    </w:p>
    <w:p w:rsidR="00CE357B" w:rsidRDefault="00CE357B" w:rsidP="00CE357B">
      <w:pPr>
        <w:numPr>
          <w:ilvl w:val="0"/>
          <w:numId w:val="9"/>
        </w:numPr>
        <w:ind w:left="1440" w:right="-540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22"/>
          <w:szCs w:val="22"/>
        </w:rPr>
        <w:t xml:space="preserve">Student data </w:t>
      </w:r>
    </w:p>
    <w:p w:rsidR="00CE357B" w:rsidRDefault="00CE357B" w:rsidP="00CE357B">
      <w:pPr>
        <w:numPr>
          <w:ilvl w:val="0"/>
          <w:numId w:val="9"/>
        </w:numPr>
        <w:ind w:left="1440" w:right="-540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22"/>
          <w:szCs w:val="22"/>
        </w:rPr>
        <w:t>SWOT analysis</w:t>
      </w:r>
    </w:p>
    <w:p w:rsidR="00CE357B" w:rsidRDefault="00CE357B" w:rsidP="00CE357B">
      <w:pPr>
        <w:tabs>
          <w:tab w:val="left" w:pos="360"/>
        </w:tabs>
        <w:ind w:left="360" w:right="-540"/>
        <w:rPr>
          <w:rFonts w:ascii="Batang" w:eastAsia="Batang" w:hAnsi="Batang"/>
          <w:color w:val="000000"/>
          <w:sz w:val="22"/>
          <w:szCs w:val="22"/>
        </w:rPr>
      </w:pPr>
    </w:p>
    <w:p w:rsidR="009B12A8" w:rsidRPr="00674273" w:rsidRDefault="00674273" w:rsidP="00674273">
      <w:pPr>
        <w:ind w:left="360" w:right="-540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22"/>
          <w:szCs w:val="22"/>
        </w:rPr>
        <w:t xml:space="preserve">Additionally, the Engineering Department will further </w:t>
      </w:r>
      <w:r w:rsidR="001F5C35">
        <w:rPr>
          <w:rFonts w:ascii="Batang" w:eastAsia="Batang" w:hAnsi="Batang"/>
          <w:sz w:val="22"/>
          <w:szCs w:val="22"/>
        </w:rPr>
        <w:t>develop its</w:t>
      </w:r>
      <w:r>
        <w:rPr>
          <w:rFonts w:ascii="Batang" w:eastAsia="Batang" w:hAnsi="Batang"/>
          <w:sz w:val="22"/>
          <w:szCs w:val="22"/>
        </w:rPr>
        <w:t xml:space="preserve"> advisory board</w:t>
      </w:r>
      <w:r w:rsidR="001F5C35">
        <w:rPr>
          <w:rFonts w:ascii="Batang" w:eastAsia="Batang" w:hAnsi="Batang"/>
          <w:sz w:val="22"/>
          <w:szCs w:val="22"/>
        </w:rPr>
        <w:t xml:space="preserve">, including membership recruitment, advisory board assessment, and rotational </w:t>
      </w:r>
      <w:bookmarkStart w:id="0" w:name="_GoBack"/>
      <w:bookmarkEnd w:id="0"/>
      <w:r w:rsidR="001F5C35">
        <w:rPr>
          <w:rFonts w:ascii="Batang" w:eastAsia="Batang" w:hAnsi="Batang"/>
          <w:sz w:val="22"/>
          <w:szCs w:val="22"/>
        </w:rPr>
        <w:t xml:space="preserve">meeting schedule. </w:t>
      </w:r>
    </w:p>
    <w:sectPr w:rsidR="009B12A8" w:rsidRPr="00674273" w:rsidSect="00B56E76"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FFA" w:rsidRDefault="00CF4FFA">
      <w:r>
        <w:separator/>
      </w:r>
    </w:p>
  </w:endnote>
  <w:endnote w:type="continuationSeparator" w:id="0">
    <w:p w:rsidR="00CF4FFA" w:rsidRDefault="00CF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F28" w:rsidRDefault="00236F28" w:rsidP="002C3060">
    <w:pPr>
      <w:pStyle w:val="Footer"/>
      <w:ind w:left="720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FFA" w:rsidRDefault="00CF4FFA">
      <w:r>
        <w:separator/>
      </w:r>
    </w:p>
  </w:footnote>
  <w:footnote w:type="continuationSeparator" w:id="0">
    <w:p w:rsidR="00CF4FFA" w:rsidRDefault="00CF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F28" w:rsidRPr="000C3E17" w:rsidRDefault="003B63EA" w:rsidP="002A71E4">
    <w:pPr>
      <w:pStyle w:val="Header"/>
      <w:ind w:right="-900"/>
      <w:jc w:val="center"/>
    </w:pPr>
    <w:r>
      <w:rPr>
        <w:noProof/>
      </w:rPr>
      <w:drawing>
        <wp:inline distT="0" distB="0" distL="0" distR="0">
          <wp:extent cx="2819400" cy="847725"/>
          <wp:effectExtent l="0" t="0" r="0" b="9525"/>
          <wp:docPr id="2" name="Picture 2" descr="EC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252A"/>
    <w:multiLevelType w:val="hybridMultilevel"/>
    <w:tmpl w:val="CD88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B4B5B"/>
    <w:multiLevelType w:val="hybridMultilevel"/>
    <w:tmpl w:val="5AE45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D891BAF"/>
    <w:multiLevelType w:val="hybridMultilevel"/>
    <w:tmpl w:val="C196527E"/>
    <w:lvl w:ilvl="0" w:tplc="6AC802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F07B55"/>
    <w:multiLevelType w:val="hybridMultilevel"/>
    <w:tmpl w:val="F8E06F00"/>
    <w:lvl w:ilvl="0" w:tplc="829618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2003D"/>
    <w:multiLevelType w:val="hybridMultilevel"/>
    <w:tmpl w:val="A7EC904A"/>
    <w:lvl w:ilvl="0" w:tplc="E92273C4">
      <w:start w:val="2"/>
      <w:numFmt w:val="upperRoman"/>
      <w:lvlText w:val="%1."/>
      <w:lvlJc w:val="left"/>
      <w:pPr>
        <w:tabs>
          <w:tab w:val="num" w:pos="3960"/>
        </w:tabs>
        <w:ind w:left="3960" w:hanging="36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FE5A71"/>
    <w:multiLevelType w:val="hybridMultilevel"/>
    <w:tmpl w:val="C98A628C"/>
    <w:lvl w:ilvl="0" w:tplc="0409000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6">
    <w:nsid w:val="4AE33993"/>
    <w:multiLevelType w:val="hybridMultilevel"/>
    <w:tmpl w:val="E58E34E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4DE17D54"/>
    <w:multiLevelType w:val="hybridMultilevel"/>
    <w:tmpl w:val="C8B0A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E72483"/>
    <w:multiLevelType w:val="hybridMultilevel"/>
    <w:tmpl w:val="C04CBCEA"/>
    <w:lvl w:ilvl="0" w:tplc="42260B9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9F1B87"/>
    <w:multiLevelType w:val="hybridMultilevel"/>
    <w:tmpl w:val="770CA1E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7AFE2523"/>
    <w:multiLevelType w:val="hybridMultilevel"/>
    <w:tmpl w:val="F47005A4"/>
    <w:lvl w:ilvl="0" w:tplc="D520A7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22"/>
    <w:rsid w:val="00003654"/>
    <w:rsid w:val="0002156E"/>
    <w:rsid w:val="00041AF3"/>
    <w:rsid w:val="000A11AD"/>
    <w:rsid w:val="000C09CC"/>
    <w:rsid w:val="000C3E17"/>
    <w:rsid w:val="000E208B"/>
    <w:rsid w:val="000F1162"/>
    <w:rsid w:val="00111D25"/>
    <w:rsid w:val="00116833"/>
    <w:rsid w:val="00147CAC"/>
    <w:rsid w:val="00182AB7"/>
    <w:rsid w:val="00185FED"/>
    <w:rsid w:val="00187703"/>
    <w:rsid w:val="001B14E7"/>
    <w:rsid w:val="001B1E72"/>
    <w:rsid w:val="001F5C35"/>
    <w:rsid w:val="002047FB"/>
    <w:rsid w:val="00210B38"/>
    <w:rsid w:val="00211975"/>
    <w:rsid w:val="00212E13"/>
    <w:rsid w:val="00236F28"/>
    <w:rsid w:val="002772E1"/>
    <w:rsid w:val="00287073"/>
    <w:rsid w:val="002A71E4"/>
    <w:rsid w:val="002C3060"/>
    <w:rsid w:val="002D786B"/>
    <w:rsid w:val="002E4C6D"/>
    <w:rsid w:val="002F411C"/>
    <w:rsid w:val="002F755F"/>
    <w:rsid w:val="003077B5"/>
    <w:rsid w:val="00352015"/>
    <w:rsid w:val="00355A32"/>
    <w:rsid w:val="003638D1"/>
    <w:rsid w:val="003B63EA"/>
    <w:rsid w:val="003F1DBB"/>
    <w:rsid w:val="00436159"/>
    <w:rsid w:val="004A4467"/>
    <w:rsid w:val="004A7B86"/>
    <w:rsid w:val="004B655A"/>
    <w:rsid w:val="004D1DC3"/>
    <w:rsid w:val="00510569"/>
    <w:rsid w:val="00520DA4"/>
    <w:rsid w:val="00527876"/>
    <w:rsid w:val="00532A79"/>
    <w:rsid w:val="005B2D14"/>
    <w:rsid w:val="005C7FD0"/>
    <w:rsid w:val="005D23EF"/>
    <w:rsid w:val="005F2620"/>
    <w:rsid w:val="00623B9A"/>
    <w:rsid w:val="00674273"/>
    <w:rsid w:val="00690A5F"/>
    <w:rsid w:val="006A1E8B"/>
    <w:rsid w:val="006A344E"/>
    <w:rsid w:val="00707BB4"/>
    <w:rsid w:val="00742E08"/>
    <w:rsid w:val="00776AD5"/>
    <w:rsid w:val="00796FA7"/>
    <w:rsid w:val="007A2C06"/>
    <w:rsid w:val="007A5F8E"/>
    <w:rsid w:val="007D0805"/>
    <w:rsid w:val="007E7A7F"/>
    <w:rsid w:val="007F2D67"/>
    <w:rsid w:val="007F3591"/>
    <w:rsid w:val="00802993"/>
    <w:rsid w:val="008067F6"/>
    <w:rsid w:val="00824554"/>
    <w:rsid w:val="00825225"/>
    <w:rsid w:val="00847318"/>
    <w:rsid w:val="008561C9"/>
    <w:rsid w:val="00860B12"/>
    <w:rsid w:val="00891CC4"/>
    <w:rsid w:val="008D0D8A"/>
    <w:rsid w:val="009100F9"/>
    <w:rsid w:val="00916A8E"/>
    <w:rsid w:val="00927DC2"/>
    <w:rsid w:val="00952EC8"/>
    <w:rsid w:val="009950D5"/>
    <w:rsid w:val="009B12A8"/>
    <w:rsid w:val="00A21216"/>
    <w:rsid w:val="00A21FFC"/>
    <w:rsid w:val="00A2695F"/>
    <w:rsid w:val="00A35FD7"/>
    <w:rsid w:val="00A5090B"/>
    <w:rsid w:val="00A626FC"/>
    <w:rsid w:val="00A64866"/>
    <w:rsid w:val="00AA1DCB"/>
    <w:rsid w:val="00AA2C35"/>
    <w:rsid w:val="00AE4B59"/>
    <w:rsid w:val="00AE7A70"/>
    <w:rsid w:val="00B523E8"/>
    <w:rsid w:val="00B56E76"/>
    <w:rsid w:val="00B64029"/>
    <w:rsid w:val="00B85188"/>
    <w:rsid w:val="00BC3012"/>
    <w:rsid w:val="00BF07B4"/>
    <w:rsid w:val="00BF14B6"/>
    <w:rsid w:val="00BF4B17"/>
    <w:rsid w:val="00C04EEF"/>
    <w:rsid w:val="00C100D8"/>
    <w:rsid w:val="00C14758"/>
    <w:rsid w:val="00C16602"/>
    <w:rsid w:val="00C271DC"/>
    <w:rsid w:val="00C279ED"/>
    <w:rsid w:val="00C35BD3"/>
    <w:rsid w:val="00C47302"/>
    <w:rsid w:val="00C863B4"/>
    <w:rsid w:val="00CA01BC"/>
    <w:rsid w:val="00CB1939"/>
    <w:rsid w:val="00CE357B"/>
    <w:rsid w:val="00CF4FFA"/>
    <w:rsid w:val="00D14A6B"/>
    <w:rsid w:val="00D360D5"/>
    <w:rsid w:val="00D41621"/>
    <w:rsid w:val="00D4294F"/>
    <w:rsid w:val="00D53301"/>
    <w:rsid w:val="00D64F5A"/>
    <w:rsid w:val="00D90822"/>
    <w:rsid w:val="00DB287F"/>
    <w:rsid w:val="00DE204F"/>
    <w:rsid w:val="00E23C3A"/>
    <w:rsid w:val="00E26841"/>
    <w:rsid w:val="00E30EDC"/>
    <w:rsid w:val="00E665B6"/>
    <w:rsid w:val="00E773C1"/>
    <w:rsid w:val="00E9141A"/>
    <w:rsid w:val="00E95460"/>
    <w:rsid w:val="00ED3BDF"/>
    <w:rsid w:val="00ED51BE"/>
    <w:rsid w:val="00F2241C"/>
    <w:rsid w:val="00F25D66"/>
    <w:rsid w:val="00F52E1C"/>
    <w:rsid w:val="00F65B13"/>
    <w:rsid w:val="00F90905"/>
    <w:rsid w:val="00F91F5A"/>
    <w:rsid w:val="00F951AE"/>
    <w:rsid w:val="00FB7F02"/>
    <w:rsid w:val="00FD7DCB"/>
    <w:rsid w:val="00FE51A1"/>
    <w:rsid w:val="00F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E078B0B-DA43-4103-AD8A-7FD8DFC4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08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082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1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EC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A5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90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9E5E9A-7C73-49E4-8836-A859D7C13E5E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/>
      <dgm:spPr/>
    </dgm:pt>
    <dgm:pt modelId="{63D2D5F7-A600-459F-986B-2BA2C9501902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General and College Physics</a:t>
          </a:r>
          <a:endParaRPr lang="en-US" smtClean="0"/>
        </a:p>
      </dgm:t>
    </dgm:pt>
    <dgm:pt modelId="{8AE43285-4E94-4447-8B26-9F6608F2806C}" type="parTrans" cxnId="{8A6552AC-99DA-4470-B0BC-A35F12335EB7}">
      <dgm:prSet/>
      <dgm:spPr/>
    </dgm:pt>
    <dgm:pt modelId="{BF27DB54-27DB-42D8-B02D-06041AB1E7C5}" type="sibTrans" cxnId="{8A6552AC-99DA-4470-B0BC-A35F12335EB7}">
      <dgm:prSet/>
      <dgm:spPr/>
    </dgm:pt>
    <dgm:pt modelId="{C96A98D3-EB25-4636-9749-8513BEA231FC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Engineering Specific Courses</a:t>
          </a:r>
          <a:endParaRPr lang="en-US" smtClean="0"/>
        </a:p>
      </dgm:t>
    </dgm:pt>
    <dgm:pt modelId="{B3FCE21B-20CD-4B70-A1E7-965F9244AF75}" type="parTrans" cxnId="{0874DED4-7184-4191-B4A1-4B0681C01BFC}">
      <dgm:prSet/>
      <dgm:spPr/>
    </dgm:pt>
    <dgm:pt modelId="{1A2A63D7-B860-4200-B428-B336165956D8}" type="sibTrans" cxnId="{0874DED4-7184-4191-B4A1-4B0681C01BFC}">
      <dgm:prSet/>
      <dgm:spPr/>
    </dgm:pt>
    <dgm:pt modelId="{9F14EE68-ED62-41E1-9F45-BC1A3CC14813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Non-Majors</a:t>
          </a:r>
        </a:p>
        <a:p>
          <a:pPr marR="0" algn="ctr" rtl="0"/>
          <a:r>
            <a:rPr lang="en-US" b="0" i="0" u="none" strike="noStrike" baseline="0" smtClean="0">
              <a:latin typeface="Calibri"/>
            </a:rPr>
            <a:t>Physics</a:t>
          </a:r>
        </a:p>
        <a:p>
          <a:pPr marR="0" algn="ctr" rtl="0"/>
          <a:r>
            <a:rPr lang="en-US" b="0" i="0" u="none" strike="noStrike" baseline="0" smtClean="0">
              <a:latin typeface="Calibri"/>
            </a:rPr>
            <a:t>Courses</a:t>
          </a:r>
        </a:p>
        <a:p>
          <a:pPr marR="0" algn="ctr" rtl="0"/>
          <a:r>
            <a:rPr lang="en-US" b="0" i="0" u="none" strike="noStrike" baseline="0" smtClean="0">
              <a:latin typeface="Calibri"/>
            </a:rPr>
            <a:t>(2012)</a:t>
          </a:r>
          <a:endParaRPr lang="en-US" smtClean="0"/>
        </a:p>
      </dgm:t>
    </dgm:pt>
    <dgm:pt modelId="{62975061-8F0D-44FC-9064-AF537A083699}" type="parTrans" cxnId="{561A43C3-5DE4-496B-B0E3-E09B3E0655B7}">
      <dgm:prSet/>
      <dgm:spPr/>
    </dgm:pt>
    <dgm:pt modelId="{086B7231-132E-4211-8F6F-7344A4540F62}" type="sibTrans" cxnId="{561A43C3-5DE4-496B-B0E3-E09B3E0655B7}">
      <dgm:prSet/>
      <dgm:spPr/>
    </dgm:pt>
    <dgm:pt modelId="{6A917D4F-F468-467E-A726-E903C4807DB2}" type="pres">
      <dgm:prSet presAssocID="{149E5E9A-7C73-49E4-8836-A859D7C13E5E}" presName="cycle" presStyleCnt="0">
        <dgm:presLayoutVars>
          <dgm:dir/>
          <dgm:resizeHandles val="exact"/>
        </dgm:presLayoutVars>
      </dgm:prSet>
      <dgm:spPr/>
    </dgm:pt>
    <dgm:pt modelId="{8E1B76A4-0F6D-4AC5-BD12-42FC0089D14B}" type="pres">
      <dgm:prSet presAssocID="{63D2D5F7-A600-459F-986B-2BA2C9501902}" presName="dummy" presStyleCnt="0"/>
      <dgm:spPr/>
    </dgm:pt>
    <dgm:pt modelId="{39193612-59C9-43E4-AC43-3E5D7343461B}" type="pres">
      <dgm:prSet presAssocID="{63D2D5F7-A600-459F-986B-2BA2C9501902}" presName="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C33A6D-8975-4CD3-AC13-981063B51393}" type="pres">
      <dgm:prSet presAssocID="{BF27DB54-27DB-42D8-B02D-06041AB1E7C5}" presName="sibTrans" presStyleLbl="node1" presStyleIdx="0" presStyleCnt="3"/>
      <dgm:spPr/>
    </dgm:pt>
    <dgm:pt modelId="{8048F06B-B35C-4224-A39D-3A44204AC428}" type="pres">
      <dgm:prSet presAssocID="{C96A98D3-EB25-4636-9749-8513BEA231FC}" presName="dummy" presStyleCnt="0"/>
      <dgm:spPr/>
    </dgm:pt>
    <dgm:pt modelId="{C00E53E6-350D-433B-945E-BBA19E1400A6}" type="pres">
      <dgm:prSet presAssocID="{C96A98D3-EB25-4636-9749-8513BEA231FC}" presName="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0E77ABD-25D0-4B5C-BAE5-6A4BF035C493}" type="pres">
      <dgm:prSet presAssocID="{1A2A63D7-B860-4200-B428-B336165956D8}" presName="sibTrans" presStyleLbl="node1" presStyleIdx="1" presStyleCnt="3"/>
      <dgm:spPr/>
    </dgm:pt>
    <dgm:pt modelId="{F32128EB-4954-4BEE-8DBC-17A7484024F3}" type="pres">
      <dgm:prSet presAssocID="{9F14EE68-ED62-41E1-9F45-BC1A3CC14813}" presName="dummy" presStyleCnt="0"/>
      <dgm:spPr/>
    </dgm:pt>
    <dgm:pt modelId="{5B43100B-C931-4149-A51F-9F74036C2418}" type="pres">
      <dgm:prSet presAssocID="{9F14EE68-ED62-41E1-9F45-BC1A3CC14813}" presName="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DD21C06-C850-42B2-9FCF-B0D09A2F1C29}" type="pres">
      <dgm:prSet presAssocID="{086B7231-132E-4211-8F6F-7344A4540F62}" presName="sibTrans" presStyleLbl="node1" presStyleIdx="2" presStyleCnt="3"/>
      <dgm:spPr/>
    </dgm:pt>
  </dgm:ptLst>
  <dgm:cxnLst>
    <dgm:cxn modelId="{FD47BD8E-0210-446F-B9BA-045BEE963EBD}" type="presOf" srcId="{9F14EE68-ED62-41E1-9F45-BC1A3CC14813}" destId="{5B43100B-C931-4149-A51F-9F74036C2418}" srcOrd="0" destOrd="0" presId="urn:microsoft.com/office/officeart/2005/8/layout/cycle1"/>
    <dgm:cxn modelId="{214D2BB5-13C5-48A7-996D-053589AFD64D}" type="presOf" srcId="{1A2A63D7-B860-4200-B428-B336165956D8}" destId="{90E77ABD-25D0-4B5C-BAE5-6A4BF035C493}" srcOrd="0" destOrd="0" presId="urn:microsoft.com/office/officeart/2005/8/layout/cycle1"/>
    <dgm:cxn modelId="{4EE3082F-CAB8-4903-BA82-D64E5C9B14E3}" type="presOf" srcId="{149E5E9A-7C73-49E4-8836-A859D7C13E5E}" destId="{6A917D4F-F468-467E-A726-E903C4807DB2}" srcOrd="0" destOrd="0" presId="urn:microsoft.com/office/officeart/2005/8/layout/cycle1"/>
    <dgm:cxn modelId="{1790099C-13CC-401B-AE06-6A134FF6DA98}" type="presOf" srcId="{C96A98D3-EB25-4636-9749-8513BEA231FC}" destId="{C00E53E6-350D-433B-945E-BBA19E1400A6}" srcOrd="0" destOrd="0" presId="urn:microsoft.com/office/officeart/2005/8/layout/cycle1"/>
    <dgm:cxn modelId="{38E0557C-CECD-4A02-AEAB-07645AE7B1F7}" type="presOf" srcId="{63D2D5F7-A600-459F-986B-2BA2C9501902}" destId="{39193612-59C9-43E4-AC43-3E5D7343461B}" srcOrd="0" destOrd="0" presId="urn:microsoft.com/office/officeart/2005/8/layout/cycle1"/>
    <dgm:cxn modelId="{E4DB989E-A80F-4042-893E-77A8DA28EE8B}" type="presOf" srcId="{BF27DB54-27DB-42D8-B02D-06041AB1E7C5}" destId="{DDC33A6D-8975-4CD3-AC13-981063B51393}" srcOrd="0" destOrd="0" presId="urn:microsoft.com/office/officeart/2005/8/layout/cycle1"/>
    <dgm:cxn modelId="{9B6CCAD7-3C2F-44FA-BF44-7DE8120E74D8}" type="presOf" srcId="{086B7231-132E-4211-8F6F-7344A4540F62}" destId="{0DD21C06-C850-42B2-9FCF-B0D09A2F1C29}" srcOrd="0" destOrd="0" presId="urn:microsoft.com/office/officeart/2005/8/layout/cycle1"/>
    <dgm:cxn modelId="{561A43C3-5DE4-496B-B0E3-E09B3E0655B7}" srcId="{149E5E9A-7C73-49E4-8836-A859D7C13E5E}" destId="{9F14EE68-ED62-41E1-9F45-BC1A3CC14813}" srcOrd="2" destOrd="0" parTransId="{62975061-8F0D-44FC-9064-AF537A083699}" sibTransId="{086B7231-132E-4211-8F6F-7344A4540F62}"/>
    <dgm:cxn modelId="{8A6552AC-99DA-4470-B0BC-A35F12335EB7}" srcId="{149E5E9A-7C73-49E4-8836-A859D7C13E5E}" destId="{63D2D5F7-A600-459F-986B-2BA2C9501902}" srcOrd="0" destOrd="0" parTransId="{8AE43285-4E94-4447-8B26-9F6608F2806C}" sibTransId="{BF27DB54-27DB-42D8-B02D-06041AB1E7C5}"/>
    <dgm:cxn modelId="{0874DED4-7184-4191-B4A1-4B0681C01BFC}" srcId="{149E5E9A-7C73-49E4-8836-A859D7C13E5E}" destId="{C96A98D3-EB25-4636-9749-8513BEA231FC}" srcOrd="1" destOrd="0" parTransId="{B3FCE21B-20CD-4B70-A1E7-965F9244AF75}" sibTransId="{1A2A63D7-B860-4200-B428-B336165956D8}"/>
    <dgm:cxn modelId="{82A69B5F-C4A6-4A32-A52C-A1830ADAE401}" type="presParOf" srcId="{6A917D4F-F468-467E-A726-E903C4807DB2}" destId="{8E1B76A4-0F6D-4AC5-BD12-42FC0089D14B}" srcOrd="0" destOrd="0" presId="urn:microsoft.com/office/officeart/2005/8/layout/cycle1"/>
    <dgm:cxn modelId="{C6E54DAA-F7BD-46A5-82AF-88030D7A5626}" type="presParOf" srcId="{6A917D4F-F468-467E-A726-E903C4807DB2}" destId="{39193612-59C9-43E4-AC43-3E5D7343461B}" srcOrd="1" destOrd="0" presId="urn:microsoft.com/office/officeart/2005/8/layout/cycle1"/>
    <dgm:cxn modelId="{E1015EEA-C105-4917-B4D0-A340414CEA1B}" type="presParOf" srcId="{6A917D4F-F468-467E-A726-E903C4807DB2}" destId="{DDC33A6D-8975-4CD3-AC13-981063B51393}" srcOrd="2" destOrd="0" presId="urn:microsoft.com/office/officeart/2005/8/layout/cycle1"/>
    <dgm:cxn modelId="{4D58EA17-B6C9-483B-849E-5270FB5842E3}" type="presParOf" srcId="{6A917D4F-F468-467E-A726-E903C4807DB2}" destId="{8048F06B-B35C-4224-A39D-3A44204AC428}" srcOrd="3" destOrd="0" presId="urn:microsoft.com/office/officeart/2005/8/layout/cycle1"/>
    <dgm:cxn modelId="{BB5E29BE-7AD6-45AC-A50F-8E0AFB35B03B}" type="presParOf" srcId="{6A917D4F-F468-467E-A726-E903C4807DB2}" destId="{C00E53E6-350D-433B-945E-BBA19E1400A6}" srcOrd="4" destOrd="0" presId="urn:microsoft.com/office/officeart/2005/8/layout/cycle1"/>
    <dgm:cxn modelId="{85DE1948-CFB1-4649-A9A4-B7A4D9AEEE0A}" type="presParOf" srcId="{6A917D4F-F468-467E-A726-E903C4807DB2}" destId="{90E77ABD-25D0-4B5C-BAE5-6A4BF035C493}" srcOrd="5" destOrd="0" presId="urn:microsoft.com/office/officeart/2005/8/layout/cycle1"/>
    <dgm:cxn modelId="{A2448E1F-29A3-4A1E-A30A-8B36702538A8}" type="presParOf" srcId="{6A917D4F-F468-467E-A726-E903C4807DB2}" destId="{F32128EB-4954-4BEE-8DBC-17A7484024F3}" srcOrd="6" destOrd="0" presId="urn:microsoft.com/office/officeart/2005/8/layout/cycle1"/>
    <dgm:cxn modelId="{2585915A-D6AD-4DB7-AD93-96C3F6710052}" type="presParOf" srcId="{6A917D4F-F468-467E-A726-E903C4807DB2}" destId="{5B43100B-C931-4149-A51F-9F74036C2418}" srcOrd="7" destOrd="0" presId="urn:microsoft.com/office/officeart/2005/8/layout/cycle1"/>
    <dgm:cxn modelId="{7838A96A-32DB-431B-9F21-F21C38C3608F}" type="presParOf" srcId="{6A917D4F-F468-467E-A726-E903C4807DB2}" destId="{0DD21C06-C850-42B2-9FCF-B0D09A2F1C29}" srcOrd="8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193612-59C9-43E4-AC43-3E5D7343461B}">
      <dsp:nvSpPr>
        <dsp:cNvPr id="0" name=""/>
        <dsp:cNvSpPr/>
      </dsp:nvSpPr>
      <dsp:spPr>
        <a:xfrm>
          <a:off x="1356572" y="170206"/>
          <a:ext cx="805773" cy="8057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u="none" strike="noStrike" kern="1200" baseline="0" smtClean="0">
              <a:latin typeface="Calibri"/>
            </a:rPr>
            <a:t>General and College Physics</a:t>
          </a:r>
          <a:endParaRPr lang="en-US" sz="1000" kern="1200" smtClean="0"/>
        </a:p>
      </dsp:txBody>
      <dsp:txXfrm>
        <a:off x="1356572" y="170206"/>
        <a:ext cx="805773" cy="805773"/>
      </dsp:txXfrm>
    </dsp:sp>
    <dsp:sp modelId="{DDC33A6D-8975-4CD3-AC13-981063B51393}">
      <dsp:nvSpPr>
        <dsp:cNvPr id="0" name=""/>
        <dsp:cNvSpPr/>
      </dsp:nvSpPr>
      <dsp:spPr>
        <a:xfrm>
          <a:off x="128236" y="11399"/>
          <a:ext cx="1906337" cy="1906337"/>
        </a:xfrm>
        <a:prstGeom prst="circularArrow">
          <a:avLst>
            <a:gd name="adj1" fmla="val 8242"/>
            <a:gd name="adj2" fmla="val 575591"/>
            <a:gd name="adj3" fmla="val 2966262"/>
            <a:gd name="adj4" fmla="val 50110"/>
            <a:gd name="adj5" fmla="val 961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0E53E6-350D-433B-945E-BBA19E1400A6}">
      <dsp:nvSpPr>
        <dsp:cNvPr id="0" name=""/>
        <dsp:cNvSpPr/>
      </dsp:nvSpPr>
      <dsp:spPr>
        <a:xfrm>
          <a:off x="678518" y="1344630"/>
          <a:ext cx="805773" cy="8057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u="none" strike="noStrike" kern="1200" baseline="0" smtClean="0">
              <a:latin typeface="Calibri"/>
            </a:rPr>
            <a:t>Engineering Specific Courses</a:t>
          </a:r>
          <a:endParaRPr lang="en-US" sz="1000" kern="1200" smtClean="0"/>
        </a:p>
      </dsp:txBody>
      <dsp:txXfrm>
        <a:off x="678518" y="1344630"/>
        <a:ext cx="805773" cy="805773"/>
      </dsp:txXfrm>
    </dsp:sp>
    <dsp:sp modelId="{90E77ABD-25D0-4B5C-BAE5-6A4BF035C493}">
      <dsp:nvSpPr>
        <dsp:cNvPr id="0" name=""/>
        <dsp:cNvSpPr/>
      </dsp:nvSpPr>
      <dsp:spPr>
        <a:xfrm>
          <a:off x="128236" y="11399"/>
          <a:ext cx="1906337" cy="1906337"/>
        </a:xfrm>
        <a:prstGeom prst="circularArrow">
          <a:avLst>
            <a:gd name="adj1" fmla="val 8242"/>
            <a:gd name="adj2" fmla="val 575591"/>
            <a:gd name="adj3" fmla="val 10174299"/>
            <a:gd name="adj4" fmla="val 7258147"/>
            <a:gd name="adj5" fmla="val 961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43100B-C931-4149-A51F-9F74036C2418}">
      <dsp:nvSpPr>
        <dsp:cNvPr id="0" name=""/>
        <dsp:cNvSpPr/>
      </dsp:nvSpPr>
      <dsp:spPr>
        <a:xfrm>
          <a:off x="464" y="170206"/>
          <a:ext cx="805773" cy="8057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u="none" strike="noStrike" kern="1200" baseline="0" smtClean="0">
              <a:latin typeface="Calibri"/>
            </a:rPr>
            <a:t>Non-Majors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u="none" strike="noStrike" kern="1200" baseline="0" smtClean="0">
              <a:latin typeface="Calibri"/>
            </a:rPr>
            <a:t>Physics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u="none" strike="noStrike" kern="1200" baseline="0" smtClean="0">
              <a:latin typeface="Calibri"/>
            </a:rPr>
            <a:t>Courses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u="none" strike="noStrike" kern="1200" baseline="0" smtClean="0">
              <a:latin typeface="Calibri"/>
            </a:rPr>
            <a:t>(2012)</a:t>
          </a:r>
          <a:endParaRPr lang="en-US" sz="1000" kern="1200" smtClean="0"/>
        </a:p>
      </dsp:txBody>
      <dsp:txXfrm>
        <a:off x="464" y="170206"/>
        <a:ext cx="805773" cy="805773"/>
      </dsp:txXfrm>
    </dsp:sp>
    <dsp:sp modelId="{0DD21C06-C850-42B2-9FCF-B0D09A2F1C29}">
      <dsp:nvSpPr>
        <dsp:cNvPr id="0" name=""/>
        <dsp:cNvSpPr/>
      </dsp:nvSpPr>
      <dsp:spPr>
        <a:xfrm>
          <a:off x="128236" y="11399"/>
          <a:ext cx="1906337" cy="1906337"/>
        </a:xfrm>
        <a:prstGeom prst="circularArrow">
          <a:avLst>
            <a:gd name="adj1" fmla="val 8242"/>
            <a:gd name="adj2" fmla="val 575591"/>
            <a:gd name="adj3" fmla="val 16858969"/>
            <a:gd name="adj4" fmla="val 14965440"/>
            <a:gd name="adj5" fmla="val 961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Central College</vt:lpstr>
    </vt:vector>
  </TitlesOfParts>
  <Company>ECC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Central College</dc:title>
  <dc:creator>Shaun M Roberson</dc:creator>
  <cp:lastModifiedBy>Ann Marie Boehmer</cp:lastModifiedBy>
  <cp:revision>2</cp:revision>
  <cp:lastPrinted>2013-03-15T17:49:00Z</cp:lastPrinted>
  <dcterms:created xsi:type="dcterms:W3CDTF">2015-06-01T14:25:00Z</dcterms:created>
  <dcterms:modified xsi:type="dcterms:W3CDTF">2015-06-01T14:25:00Z</dcterms:modified>
</cp:coreProperties>
</file>