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1040840"/>
        <w:docPartObj>
          <w:docPartGallery w:val="Cover Pages"/>
          <w:docPartUnique/>
        </w:docPartObj>
      </w:sdtPr>
      <w:sdtEndPr>
        <w:rPr>
          <w:rFonts w:asciiTheme="majorHAnsi" w:eastAsiaTheme="majorEastAsia" w:hAnsiTheme="majorHAnsi" w:cstheme="majorBidi"/>
          <w:color w:val="E6EED5" w:themeColor="accent3" w:themeTint="3F"/>
          <w:sz w:val="72"/>
          <w:szCs w:val="72"/>
        </w:rPr>
      </w:sdtEndPr>
      <w:sdtContent>
        <w:p w:rsidR="007F6702" w:rsidRDefault="007F6702"/>
        <w:p w:rsidR="007F6702" w:rsidRDefault="0043582D">
          <w:r>
            <w:rPr>
              <w:noProof/>
              <w:lang w:eastAsia="zh-TW"/>
            </w:rPr>
            <w:pict>
              <v:group id="_x0000_s1027" style="position:absolute;margin-left:0;margin-top:0;width:611.95pt;height:9in;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8"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9" style="position:absolute;left:-6;top:3717;width:12189;height:3550" coordorigin="18,7468" coordsize="12189,3550">
                    <v:shape id="_x0000_s1030" style="position:absolute;left:18;top:7837;width:7132;height:2863;mso-width-relative:page;mso-height-relative:page" coordsize="7132,2863" path="m,l17,2863,7132,2578r,-2378l,xe" fillcolor="#a7bfde [1620]" stroked="f">
                      <v:fill opacity=".5"/>
                      <v:path arrowok="t"/>
                    </v:shape>
                    <v:shape id="_x0000_s1031" style="position:absolute;left:7150;top:7468;width:3466;height:3550;mso-width-relative:page;mso-height-relative:page" coordsize="3466,3550" path="m,569l,2930r3466,620l3466,,,569xe" fillcolor="#d3dfee [820]" stroked="f">
                      <v:fill opacity=".5"/>
                      <v:path arrowok="t"/>
                    </v:shape>
                    <v:shape id="_x0000_s1032" style="position:absolute;left:10616;top:7468;width:1591;height:3550;mso-width-relative:page;mso-height-relative:page" coordsize="1591,3550" path="m,l,3550,1591,2746r,-2009l,xe" fillcolor="#a7bfde [1620]" stroked="f">
                      <v:fill opacity=".5"/>
                      <v:path arrowok="t"/>
                    </v:shape>
                  </v:group>
                  <v:shape id="_x0000_s1033" style="position:absolute;left:8071;top:4069;width:4120;height:2913;mso-width-relative:page;mso-height-relative:page" coordsize="4120,2913" path="m1,251l,2662r4120,251l4120,,1,251xe" fillcolor="#d8d8d8 [2732]" stroked="f">
                    <v:path arrowok="t"/>
                  </v:shape>
                  <v:shape id="_x0000_s1034" style="position:absolute;left:4104;top:3399;width:3985;height:4236;mso-width-relative:page;mso-height-relative:page" coordsize="3985,4236" path="m,l,4236,3985,3349r,-2428l,xe" fillcolor="#bfbfbf [2412]" stroked="f">
                    <v:path arrowok="t"/>
                  </v:shape>
                  <v:shape id="_x0000_s1035" style="position:absolute;left:18;top:3399;width:4086;height:4253;mso-width-relative:page;mso-height-relative:page" coordsize="4086,4253" path="m4086,r-2,4253l,3198,,1072,4086,xe" fillcolor="#d8d8d8 [2732]" stroked="f">
                    <v:path arrowok="t"/>
                  </v:shape>
                  <v:shape id="_x0000_s1036" style="position:absolute;left:17;top:3617;width:2076;height:3851;mso-width-relative:page;mso-height-relative:page" coordsize="2076,3851" path="m,921l2060,r16,3851l,2981,,921xe" fillcolor="#d3dfee [820]" stroked="f">
                    <v:fill opacity="45875f"/>
                    <v:path arrowok="t"/>
                  </v:shape>
                  <v:shape id="_x0000_s1037" style="position:absolute;left:2077;top:3617;width:6011;height:3835;mso-width-relative:page;mso-height-relative:page" coordsize="6011,3835" path="m,l17,3835,6011,2629r,-1390l,xe" fillcolor="#a7bfde [1620]" stroked="f">
                    <v:fill opacity="45875f"/>
                    <v:path arrowok="t"/>
                  </v:shape>
                  <v:shape id="_x0000_s1038" style="position:absolute;left:8088;top:3835;width:4102;height:3432;mso-width-relative:page;mso-height-relative:page" coordsize="4102,3432" path="m,1038l,2411,4102,3432,4102,,,1038xe" fillcolor="#d3dfee [820]" stroked="f">
                    <v:fill opacity="45875f"/>
                    <v:path arrowok="t"/>
                  </v:shape>
                </v:group>
                <v:rect id="_x0000_s1039" style="position:absolute;left:1800;top:1440;width:8638;height:1928;mso-width-percent:1000;mso-position-horizontal:center;mso-position-horizontal-relative:margin;mso-position-vertical:top;mso-position-vertical-relative:margin;mso-width-percent:1000;mso-width-relative:margin;mso-height-relative:margin" filled="f" stroked="f">
                  <v:textbox style="mso-next-textbox:#_x0000_s1039;mso-fit-shape-to-text:t">
                    <w:txbxContent>
                      <w:p w:rsidR="007F6702" w:rsidRDefault="007F6702">
                        <w:pPr>
                          <w:spacing w:after="0"/>
                          <w:rPr>
                            <w:b/>
                            <w:bCs/>
                            <w:color w:val="808080" w:themeColor="text1" w:themeTint="7F"/>
                            <w:sz w:val="32"/>
                            <w:szCs w:val="32"/>
                          </w:rPr>
                        </w:pPr>
                        <w:r>
                          <w:rPr>
                            <w:noProof/>
                          </w:rPr>
                          <w:drawing>
                            <wp:inline distT="0" distB="0" distL="0" distR="0">
                              <wp:extent cx="5286375" cy="1095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86375" cy="1095375"/>
                                      </a:xfrm>
                                      <a:prstGeom prst="rect">
                                        <a:avLst/>
                                      </a:prstGeom>
                                      <a:noFill/>
                                      <a:ln w="9525">
                                        <a:noFill/>
                                        <a:miter lim="800000"/>
                                        <a:headEnd/>
                                        <a:tailEnd/>
                                      </a:ln>
                                    </pic:spPr>
                                  </pic:pic>
                                </a:graphicData>
                              </a:graphic>
                            </wp:inline>
                          </w:drawing>
                        </w:r>
                      </w:p>
                    </w:txbxContent>
                  </v:textbox>
                </v:rect>
                <v:rect id="_x0000_s1040" style="position:absolute;left:6494;top:11160;width:4998;height:1692;mso-position-horizontal-relative:margin;mso-position-vertical-relative:margin" filled="f" stroked="f">
                  <v:textbox style="mso-next-textbox:#_x0000_s1040;mso-fit-shape-to-text:t">
                    <w:txbxContent>
                      <w:sdt>
                        <w:sdtPr>
                          <w:rPr>
                            <w:color w:val="17365D" w:themeColor="text2" w:themeShade="BF"/>
                            <w:sz w:val="96"/>
                            <w:szCs w:val="96"/>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7F6702" w:rsidRPr="00160488" w:rsidRDefault="007F6702">
                            <w:pPr>
                              <w:jc w:val="right"/>
                              <w:rPr>
                                <w:color w:val="17365D" w:themeColor="text2" w:themeShade="BF"/>
                                <w:sz w:val="96"/>
                                <w:szCs w:val="96"/>
                              </w:rPr>
                            </w:pPr>
                            <w:r w:rsidRPr="00160488">
                              <w:rPr>
                                <w:color w:val="17365D" w:themeColor="text2" w:themeShade="BF"/>
                                <w:sz w:val="96"/>
                                <w:szCs w:val="96"/>
                              </w:rPr>
                              <w:t>Chemistry</w:t>
                            </w:r>
                          </w:p>
                        </w:sdtContent>
                      </w:sdt>
                    </w:txbxContent>
                  </v:textbox>
                </v:rect>
                <v:rect id="_x0000_s1041"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1">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7F6702" w:rsidRDefault="007F6702">
                            <w:pPr>
                              <w:spacing w:after="0"/>
                              <w:rPr>
                                <w:b/>
                                <w:bCs/>
                                <w:color w:val="1F497D" w:themeColor="text2"/>
                                <w:sz w:val="72"/>
                                <w:szCs w:val="72"/>
                              </w:rPr>
                            </w:pPr>
                            <w:r>
                              <w:rPr>
                                <w:b/>
                                <w:bCs/>
                                <w:color w:val="1F497D" w:themeColor="text2"/>
                                <w:sz w:val="72"/>
                                <w:szCs w:val="72"/>
                              </w:rPr>
                              <w:t>Program Review</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7F6702" w:rsidRDefault="007F6702">
                            <w:pPr>
                              <w:rPr>
                                <w:b/>
                                <w:bCs/>
                                <w:color w:val="4F81BD" w:themeColor="accent1"/>
                                <w:sz w:val="40"/>
                                <w:szCs w:val="40"/>
                              </w:rPr>
                            </w:pPr>
                            <w:r>
                              <w:rPr>
                                <w:b/>
                                <w:bCs/>
                                <w:color w:val="4F81BD" w:themeColor="accent1"/>
                                <w:sz w:val="40"/>
                                <w:szCs w:val="40"/>
                              </w:rPr>
                              <w:t>Annual Report</w:t>
                            </w:r>
                          </w:p>
                        </w:sdtContent>
                      </w:sdt>
                      <w:sdt>
                        <w:sdtPr>
                          <w:rPr>
                            <w:b/>
                            <w:bCs/>
                            <w:color w:val="808080" w:themeColor="text1" w:themeTint="7F"/>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Content>
                          <w:p w:rsidR="007F6702" w:rsidRDefault="007F6702">
                            <w:pPr>
                              <w:rPr>
                                <w:b/>
                                <w:bCs/>
                                <w:color w:val="808080" w:themeColor="text1" w:themeTint="7F"/>
                                <w:sz w:val="32"/>
                                <w:szCs w:val="32"/>
                              </w:rPr>
                            </w:pPr>
                            <w:r>
                              <w:rPr>
                                <w:b/>
                                <w:bCs/>
                                <w:color w:val="808080" w:themeColor="text1" w:themeTint="7F"/>
                                <w:sz w:val="32"/>
                                <w:szCs w:val="32"/>
                              </w:rPr>
                              <w:t>Fatemeh Nichols</w:t>
                            </w:r>
                            <w:r w:rsidR="005E7B6E">
                              <w:rPr>
                                <w:b/>
                                <w:bCs/>
                                <w:color w:val="808080" w:themeColor="text1" w:themeTint="7F"/>
                                <w:sz w:val="32"/>
                                <w:szCs w:val="32"/>
                              </w:rPr>
                              <w:t>,</w:t>
                            </w:r>
                            <w:r>
                              <w:rPr>
                                <w:b/>
                                <w:bCs/>
                                <w:color w:val="808080" w:themeColor="text1" w:themeTint="7F"/>
                                <w:sz w:val="32"/>
                                <w:szCs w:val="32"/>
                              </w:rPr>
                              <w:t xml:space="preserve"> Ph.D</w:t>
                            </w:r>
                          </w:p>
                        </w:sdtContent>
                      </w:sdt>
                      <w:p w:rsidR="007F6702" w:rsidRDefault="007F6702">
                        <w:pPr>
                          <w:rPr>
                            <w:b/>
                            <w:bCs/>
                            <w:color w:val="808080" w:themeColor="text1" w:themeTint="7F"/>
                            <w:sz w:val="32"/>
                            <w:szCs w:val="32"/>
                          </w:rPr>
                        </w:pPr>
                      </w:p>
                    </w:txbxContent>
                  </v:textbox>
                </v:rect>
                <w10:wrap anchorx="page" anchory="margin"/>
              </v:group>
            </w:pict>
          </w:r>
        </w:p>
        <w:p w:rsidR="007F6702" w:rsidRDefault="007F6702">
          <w:pPr>
            <w:spacing w:before="100" w:beforeAutospacing="1" w:after="0" w:line="120" w:lineRule="auto"/>
            <w:ind w:left="720"/>
            <w:rPr>
              <w:rFonts w:asciiTheme="majorHAnsi" w:eastAsiaTheme="majorEastAsia" w:hAnsiTheme="majorHAnsi" w:cstheme="majorBidi"/>
              <w:color w:val="E6EED5" w:themeColor="accent3" w:themeTint="3F"/>
              <w:sz w:val="72"/>
              <w:szCs w:val="72"/>
            </w:rPr>
          </w:pPr>
          <w:r>
            <w:rPr>
              <w:rFonts w:asciiTheme="majorHAnsi" w:eastAsiaTheme="majorEastAsia" w:hAnsiTheme="majorHAnsi" w:cstheme="majorBidi"/>
              <w:color w:val="E6EED5" w:themeColor="accent3" w:themeTint="3F"/>
              <w:sz w:val="72"/>
              <w:szCs w:val="72"/>
            </w:rPr>
            <w:br w:type="page"/>
          </w:r>
        </w:p>
      </w:sdtContent>
    </w:sdt>
    <w:p w:rsidR="00CA2CF8" w:rsidRPr="00494083" w:rsidRDefault="00CA2CF8" w:rsidP="00AC1903">
      <w:pPr>
        <w:spacing w:after="0" w:line="240" w:lineRule="auto"/>
        <w:rPr>
          <w:rFonts w:ascii="Times New Roman" w:hAnsi="Times New Roman"/>
          <w:b/>
          <w:sz w:val="24"/>
          <w:szCs w:val="24"/>
        </w:rPr>
      </w:pPr>
      <w:r w:rsidRPr="00494083">
        <w:rPr>
          <w:rFonts w:ascii="Times New Roman" w:hAnsi="Times New Roman"/>
          <w:b/>
          <w:sz w:val="24"/>
          <w:szCs w:val="24"/>
        </w:rPr>
        <w:lastRenderedPageBreak/>
        <w:t>Introduction:</w:t>
      </w:r>
    </w:p>
    <w:p w:rsidR="00CA2CF8" w:rsidRPr="00494083" w:rsidRDefault="00CA2CF8" w:rsidP="00AC1903">
      <w:pPr>
        <w:spacing w:after="0" w:line="240" w:lineRule="auto"/>
        <w:rPr>
          <w:rFonts w:ascii="Times New Roman" w:hAnsi="Times New Roman"/>
          <w:b/>
          <w:sz w:val="24"/>
          <w:szCs w:val="24"/>
        </w:rPr>
      </w:pPr>
    </w:p>
    <w:p w:rsidR="00CA2CF8" w:rsidRPr="00CB087F" w:rsidRDefault="005E7B6E" w:rsidP="00AC1903">
      <w:pPr>
        <w:spacing w:after="0" w:line="240" w:lineRule="auto"/>
        <w:rPr>
          <w:rFonts w:ascii="Times New Roman" w:hAnsi="Times New Roman"/>
          <w:sz w:val="24"/>
          <w:szCs w:val="24"/>
        </w:rPr>
      </w:pPr>
      <w:r w:rsidRPr="00CB087F">
        <w:rPr>
          <w:rFonts w:ascii="Times New Roman" w:hAnsi="Times New Roman"/>
          <w:sz w:val="24"/>
          <w:szCs w:val="24"/>
        </w:rPr>
        <w:t xml:space="preserve">The primary purpose for the </w:t>
      </w:r>
      <w:r w:rsidR="00CA2CF8" w:rsidRPr="00CB087F">
        <w:rPr>
          <w:rFonts w:ascii="Times New Roman" w:hAnsi="Times New Roman"/>
          <w:sz w:val="24"/>
          <w:szCs w:val="24"/>
        </w:rPr>
        <w:t>annual review</w:t>
      </w:r>
      <w:r w:rsidRPr="00CB087F">
        <w:rPr>
          <w:rFonts w:ascii="Times New Roman" w:hAnsi="Times New Roman"/>
          <w:sz w:val="24"/>
          <w:szCs w:val="24"/>
        </w:rPr>
        <w:t xml:space="preserve"> of the Chemistry Department</w:t>
      </w:r>
      <w:r w:rsidR="00CA2CF8" w:rsidRPr="00CB087F">
        <w:rPr>
          <w:rFonts w:ascii="Times New Roman" w:hAnsi="Times New Roman"/>
          <w:sz w:val="24"/>
          <w:szCs w:val="24"/>
        </w:rPr>
        <w:t xml:space="preserve"> is to examine </w:t>
      </w:r>
      <w:r w:rsidRPr="00CB087F">
        <w:rPr>
          <w:rFonts w:ascii="Times New Roman" w:hAnsi="Times New Roman"/>
          <w:sz w:val="24"/>
          <w:szCs w:val="24"/>
        </w:rPr>
        <w:t xml:space="preserve">the </w:t>
      </w:r>
      <w:r w:rsidR="00CA2CF8" w:rsidRPr="00CB087F">
        <w:rPr>
          <w:rFonts w:ascii="Times New Roman" w:hAnsi="Times New Roman"/>
          <w:sz w:val="24"/>
          <w:szCs w:val="24"/>
        </w:rPr>
        <w:t>department’s e</w:t>
      </w:r>
      <w:r w:rsidRPr="00CB087F">
        <w:rPr>
          <w:rFonts w:ascii="Times New Roman" w:hAnsi="Times New Roman"/>
          <w:sz w:val="24"/>
          <w:szCs w:val="24"/>
        </w:rPr>
        <w:t xml:space="preserve">nrolment number, curriculum, </w:t>
      </w:r>
      <w:r w:rsidR="00CA2CF8" w:rsidRPr="00CB087F">
        <w:rPr>
          <w:rFonts w:ascii="Times New Roman" w:hAnsi="Times New Roman"/>
          <w:sz w:val="24"/>
          <w:szCs w:val="24"/>
        </w:rPr>
        <w:t>changes, assessment plan and most important</w:t>
      </w:r>
      <w:r w:rsidRPr="00CB087F">
        <w:rPr>
          <w:rFonts w:ascii="Times New Roman" w:hAnsi="Times New Roman"/>
          <w:sz w:val="24"/>
          <w:szCs w:val="24"/>
        </w:rPr>
        <w:t>ly</w:t>
      </w:r>
      <w:r w:rsidR="00CA2CF8" w:rsidRPr="00CB087F">
        <w:rPr>
          <w:rFonts w:ascii="Times New Roman" w:hAnsi="Times New Roman"/>
          <w:sz w:val="24"/>
          <w:szCs w:val="24"/>
        </w:rPr>
        <w:t xml:space="preserve"> SWOT analysis.</w:t>
      </w:r>
      <w:r w:rsidRPr="00CB087F">
        <w:rPr>
          <w:rFonts w:ascii="Times New Roman" w:hAnsi="Times New Roman"/>
          <w:sz w:val="24"/>
          <w:szCs w:val="24"/>
        </w:rPr>
        <w:t xml:space="preserve"> It is the goal of this report to give an over-all account of how the department is progressing.  There have been many changes throughout the department which have helped the department to grow.  This report is designed to take a l</w:t>
      </w:r>
      <w:r w:rsidR="00D74A4E" w:rsidRPr="00CB087F">
        <w:rPr>
          <w:rFonts w:ascii="Times New Roman" w:hAnsi="Times New Roman"/>
          <w:sz w:val="24"/>
          <w:szCs w:val="24"/>
        </w:rPr>
        <w:t xml:space="preserve">ook at those changes and help </w:t>
      </w:r>
      <w:r w:rsidRPr="00CB087F">
        <w:rPr>
          <w:rFonts w:ascii="Times New Roman" w:hAnsi="Times New Roman"/>
          <w:sz w:val="24"/>
          <w:szCs w:val="24"/>
        </w:rPr>
        <w:t>develop a plan for the future.</w:t>
      </w:r>
    </w:p>
    <w:p w:rsidR="00CA2CF8" w:rsidRPr="00494083" w:rsidRDefault="00CA2CF8" w:rsidP="00AC1903">
      <w:pPr>
        <w:spacing w:after="0" w:line="240" w:lineRule="auto"/>
        <w:rPr>
          <w:rFonts w:ascii="Times New Roman" w:hAnsi="Times New Roman"/>
          <w:b/>
          <w:sz w:val="24"/>
          <w:szCs w:val="24"/>
        </w:rPr>
      </w:pPr>
    </w:p>
    <w:p w:rsidR="00BE38C0" w:rsidRPr="00494083" w:rsidRDefault="00BE38C0" w:rsidP="00AC1903">
      <w:pPr>
        <w:spacing w:after="0" w:line="240" w:lineRule="auto"/>
        <w:rPr>
          <w:rFonts w:ascii="Times New Roman" w:hAnsi="Times New Roman"/>
          <w:b/>
          <w:sz w:val="24"/>
          <w:szCs w:val="24"/>
        </w:rPr>
      </w:pPr>
      <w:r w:rsidRPr="00494083">
        <w:rPr>
          <w:rFonts w:ascii="Times New Roman" w:hAnsi="Times New Roman"/>
          <w:b/>
          <w:sz w:val="24"/>
          <w:szCs w:val="24"/>
        </w:rPr>
        <w:t>Enrollment Numbers</w:t>
      </w:r>
      <w:r w:rsidR="00262FB6" w:rsidRPr="00494083">
        <w:rPr>
          <w:rFonts w:ascii="Times New Roman" w:hAnsi="Times New Roman"/>
          <w:b/>
          <w:sz w:val="24"/>
          <w:szCs w:val="24"/>
        </w:rPr>
        <w:t>:</w:t>
      </w:r>
    </w:p>
    <w:p w:rsidR="00AC1903" w:rsidRPr="00494083" w:rsidRDefault="00BE38C0" w:rsidP="00AC1903">
      <w:pPr>
        <w:tabs>
          <w:tab w:val="left" w:pos="510"/>
          <w:tab w:val="center" w:pos="1386"/>
        </w:tabs>
        <w:spacing w:after="0" w:line="240" w:lineRule="auto"/>
        <w:rPr>
          <w:rFonts w:ascii="Times New Roman" w:hAnsi="Times New Roman"/>
          <w:b/>
          <w:sz w:val="24"/>
          <w:szCs w:val="24"/>
        </w:rPr>
      </w:pPr>
      <w:r w:rsidRPr="00494083">
        <w:rPr>
          <w:rFonts w:ascii="Times New Roman" w:hAnsi="Times New Roman"/>
          <w:b/>
          <w:sz w:val="24"/>
          <w:szCs w:val="24"/>
        </w:rPr>
        <w:tab/>
      </w:r>
    </w:p>
    <w:p w:rsidR="00262FB6" w:rsidRPr="00494083" w:rsidRDefault="00262FB6" w:rsidP="00262FB6">
      <w:pPr>
        <w:rPr>
          <w:rFonts w:ascii="Times New Roman" w:hAnsi="Times New Roman"/>
          <w:sz w:val="24"/>
          <w:szCs w:val="24"/>
        </w:rPr>
      </w:pPr>
      <w:r w:rsidRPr="00494083">
        <w:rPr>
          <w:rFonts w:ascii="Times New Roman" w:hAnsi="Times New Roman"/>
          <w:sz w:val="24"/>
          <w:szCs w:val="24"/>
        </w:rPr>
        <w:t xml:space="preserve">The statistical data compiled for the chemistry department for the years 2008 through spring of 2010, show an increase of 20% for the enrollment headcount and the full year equivalency (FYE). This increase in enrollment parallels the trends seen in the average sections size and the student to faculty ratio. The percent successful parameter is a value indicating the number of students receiving a grade of A, B, or C, divided by the total number of students. The percent successful results show a slight increase over this period, while the percent withdrawal show a reverse trend of about the same amount. </w:t>
      </w:r>
    </w:p>
    <w:tbl>
      <w:tblPr>
        <w:tblW w:w="9276" w:type="dxa"/>
        <w:tblInd w:w="108" w:type="dxa"/>
        <w:tblLook w:val="04A0"/>
      </w:tblPr>
      <w:tblGrid>
        <w:gridCol w:w="221"/>
        <w:gridCol w:w="221"/>
        <w:gridCol w:w="4689"/>
        <w:gridCol w:w="1295"/>
        <w:gridCol w:w="1295"/>
        <w:gridCol w:w="1303"/>
        <w:gridCol w:w="222"/>
        <w:gridCol w:w="222"/>
      </w:tblGrid>
      <w:tr w:rsidR="00A21A0E" w:rsidRPr="00A21A0E" w:rsidTr="00A21A0E">
        <w:trPr>
          <w:trHeight w:val="255"/>
        </w:trPr>
        <w:tc>
          <w:tcPr>
            <w:tcW w:w="9276" w:type="dxa"/>
            <w:gridSpan w:val="8"/>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No dual credit or articulated data are used in this study</w:t>
            </w: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rPr>
            </w:pPr>
          </w:p>
        </w:tc>
        <w:tc>
          <w:tcPr>
            <w:tcW w:w="1383"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rPr>
            </w:pPr>
          </w:p>
        </w:tc>
        <w:tc>
          <w:tcPr>
            <w:tcW w:w="1383"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rPr>
            </w:pPr>
          </w:p>
        </w:tc>
        <w:tc>
          <w:tcPr>
            <w:tcW w:w="139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rPr>
            </w:pPr>
          </w:p>
        </w:tc>
      </w:tr>
      <w:tr w:rsidR="00A21A0E" w:rsidRPr="00A21A0E" w:rsidTr="00A21A0E">
        <w:trPr>
          <w:trHeight w:val="300"/>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9213" w:type="dxa"/>
            <w:gridSpan w:val="4"/>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b/>
                <w:bCs/>
                <w:sz w:val="24"/>
                <w:szCs w:val="24"/>
              </w:rPr>
            </w:pPr>
            <w:r w:rsidRPr="00A21A0E">
              <w:rPr>
                <w:rFonts w:eastAsia="Times New Roman"/>
                <w:b/>
                <w:bCs/>
                <w:sz w:val="24"/>
                <w:szCs w:val="24"/>
              </w:rPr>
              <w:t>Enrollment: Headcount</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Department</w:t>
            </w:r>
          </w:p>
        </w:tc>
        <w:tc>
          <w:tcPr>
            <w:tcW w:w="1383" w:type="dxa"/>
            <w:tcBorders>
              <w:top w:val="single" w:sz="4" w:space="0" w:color="000000"/>
              <w:left w:val="nil"/>
              <w:bottom w:val="nil"/>
              <w:right w:val="nil"/>
            </w:tcBorders>
            <w:shd w:val="clear" w:color="000000" w:fill="000000"/>
            <w:noWrap/>
            <w:vAlign w:val="center"/>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2008</w:t>
            </w:r>
          </w:p>
        </w:tc>
        <w:tc>
          <w:tcPr>
            <w:tcW w:w="1383" w:type="dxa"/>
            <w:tcBorders>
              <w:top w:val="single" w:sz="4" w:space="0" w:color="000000"/>
              <w:left w:val="nil"/>
              <w:bottom w:val="nil"/>
              <w:right w:val="nil"/>
            </w:tcBorders>
            <w:shd w:val="clear" w:color="000000" w:fill="000000"/>
            <w:noWrap/>
            <w:vAlign w:val="center"/>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2009</w:t>
            </w:r>
          </w:p>
        </w:tc>
        <w:tc>
          <w:tcPr>
            <w:tcW w:w="1392" w:type="dxa"/>
            <w:tcBorders>
              <w:top w:val="single" w:sz="4" w:space="0" w:color="000000"/>
              <w:left w:val="nil"/>
              <w:bottom w:val="nil"/>
              <w:right w:val="single" w:sz="4" w:space="0" w:color="000000"/>
            </w:tcBorders>
            <w:shd w:val="clear" w:color="000000" w:fill="000000"/>
            <w:noWrap/>
            <w:vAlign w:val="center"/>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2010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300"/>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single" w:sz="4" w:space="0" w:color="000000"/>
              <w:right w:val="nil"/>
            </w:tcBorders>
            <w:shd w:val="clear" w:color="000000" w:fill="EEECE1"/>
            <w:noWrap/>
            <w:vAlign w:val="bottom"/>
            <w:hideMark/>
          </w:tcPr>
          <w:p w:rsidR="00A21A0E" w:rsidRPr="00A21A0E" w:rsidRDefault="00A21A0E" w:rsidP="00A21A0E">
            <w:pPr>
              <w:spacing w:after="0" w:line="240" w:lineRule="auto"/>
              <w:jc w:val="center"/>
              <w:rPr>
                <w:rFonts w:eastAsia="Times New Roman"/>
                <w:color w:val="000000"/>
              </w:rPr>
            </w:pPr>
            <w:r w:rsidRPr="00A21A0E">
              <w:rPr>
                <w:rFonts w:eastAsia="Times New Roman"/>
                <w:color w:val="000000"/>
              </w:rPr>
              <w:t>CH</w:t>
            </w:r>
          </w:p>
        </w:tc>
        <w:tc>
          <w:tcPr>
            <w:tcW w:w="1383" w:type="dxa"/>
            <w:tcBorders>
              <w:top w:val="single" w:sz="4" w:space="0" w:color="000000"/>
              <w:left w:val="nil"/>
              <w:bottom w:val="single" w:sz="4" w:space="0" w:color="000000"/>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502</w:t>
            </w:r>
          </w:p>
        </w:tc>
        <w:tc>
          <w:tcPr>
            <w:tcW w:w="1383" w:type="dxa"/>
            <w:tcBorders>
              <w:top w:val="single" w:sz="4" w:space="0" w:color="000000"/>
              <w:left w:val="nil"/>
              <w:bottom w:val="single" w:sz="4" w:space="0" w:color="000000"/>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568</w:t>
            </w:r>
          </w:p>
        </w:tc>
        <w:tc>
          <w:tcPr>
            <w:tcW w:w="1392" w:type="dxa"/>
            <w:tcBorders>
              <w:top w:val="single" w:sz="4" w:space="0" w:color="000000"/>
              <w:left w:val="nil"/>
              <w:bottom w:val="single" w:sz="4" w:space="0" w:color="000000"/>
              <w:right w:val="single" w:sz="4" w:space="0" w:color="000000"/>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606</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7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A5A5A5"/>
                <w:sz w:val="20"/>
                <w:szCs w:val="20"/>
              </w:rPr>
            </w:pPr>
            <w:r w:rsidRPr="00A21A0E">
              <w:rPr>
                <w:rFonts w:eastAsia="Times New Roman"/>
                <w:color w:val="A5A5A5"/>
                <w:sz w:val="20"/>
                <w:szCs w:val="20"/>
              </w:rPr>
              <w:t>Note: Student count is duplicated.</w:t>
            </w: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300"/>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9213" w:type="dxa"/>
            <w:gridSpan w:val="4"/>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b/>
                <w:bCs/>
                <w:sz w:val="24"/>
                <w:szCs w:val="24"/>
              </w:rPr>
            </w:pPr>
            <w:r w:rsidRPr="00A21A0E">
              <w:rPr>
                <w:rFonts w:eastAsia="Times New Roman"/>
                <w:b/>
                <w:bCs/>
                <w:sz w:val="24"/>
                <w:szCs w:val="24"/>
              </w:rPr>
              <w:t>Enrollment: FYE</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Department</w:t>
            </w:r>
          </w:p>
        </w:tc>
        <w:tc>
          <w:tcPr>
            <w:tcW w:w="1383" w:type="dxa"/>
            <w:tcBorders>
              <w:top w:val="single" w:sz="4" w:space="0" w:color="000000"/>
              <w:left w:val="nil"/>
              <w:bottom w:val="nil"/>
              <w:right w:val="nil"/>
            </w:tcBorders>
            <w:shd w:val="clear" w:color="000000" w:fill="000000"/>
            <w:noWrap/>
            <w:vAlign w:val="center"/>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2008</w:t>
            </w:r>
          </w:p>
        </w:tc>
        <w:tc>
          <w:tcPr>
            <w:tcW w:w="1383" w:type="dxa"/>
            <w:tcBorders>
              <w:top w:val="single" w:sz="4" w:space="0" w:color="000000"/>
              <w:left w:val="nil"/>
              <w:bottom w:val="nil"/>
              <w:right w:val="nil"/>
            </w:tcBorders>
            <w:shd w:val="clear" w:color="000000" w:fill="000000"/>
            <w:noWrap/>
            <w:vAlign w:val="center"/>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2009</w:t>
            </w:r>
          </w:p>
        </w:tc>
        <w:tc>
          <w:tcPr>
            <w:tcW w:w="1392" w:type="dxa"/>
            <w:tcBorders>
              <w:top w:val="single" w:sz="4" w:space="0" w:color="000000"/>
              <w:left w:val="nil"/>
              <w:bottom w:val="nil"/>
              <w:right w:val="single" w:sz="4" w:space="0" w:color="000000"/>
            </w:tcBorders>
            <w:shd w:val="clear" w:color="000000" w:fill="000000"/>
            <w:noWrap/>
            <w:vAlign w:val="center"/>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2010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300"/>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single" w:sz="4" w:space="0" w:color="000000"/>
              <w:right w:val="nil"/>
            </w:tcBorders>
            <w:shd w:val="clear" w:color="000000" w:fill="EEECE1"/>
            <w:noWrap/>
            <w:vAlign w:val="bottom"/>
            <w:hideMark/>
          </w:tcPr>
          <w:p w:rsidR="00A21A0E" w:rsidRPr="00A21A0E" w:rsidRDefault="00A21A0E" w:rsidP="00A21A0E">
            <w:pPr>
              <w:spacing w:after="0" w:line="240" w:lineRule="auto"/>
              <w:jc w:val="center"/>
              <w:rPr>
                <w:rFonts w:eastAsia="Times New Roman"/>
              </w:rPr>
            </w:pPr>
            <w:r w:rsidRPr="00A21A0E">
              <w:rPr>
                <w:rFonts w:eastAsia="Times New Roman"/>
              </w:rPr>
              <w:t>CH</w:t>
            </w:r>
          </w:p>
        </w:tc>
        <w:tc>
          <w:tcPr>
            <w:tcW w:w="1383" w:type="dxa"/>
            <w:tcBorders>
              <w:top w:val="single" w:sz="4" w:space="0" w:color="000000"/>
              <w:left w:val="nil"/>
              <w:bottom w:val="single" w:sz="4" w:space="0" w:color="000000"/>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42.40</w:t>
            </w:r>
          </w:p>
        </w:tc>
        <w:tc>
          <w:tcPr>
            <w:tcW w:w="1383" w:type="dxa"/>
            <w:tcBorders>
              <w:top w:val="single" w:sz="4" w:space="0" w:color="000000"/>
              <w:left w:val="nil"/>
              <w:bottom w:val="single" w:sz="4" w:space="0" w:color="000000"/>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47.73</w:t>
            </w:r>
          </w:p>
        </w:tc>
        <w:tc>
          <w:tcPr>
            <w:tcW w:w="1392" w:type="dxa"/>
            <w:tcBorders>
              <w:top w:val="single" w:sz="4" w:space="0" w:color="000000"/>
              <w:left w:val="nil"/>
              <w:bottom w:val="single" w:sz="4" w:space="0" w:color="000000"/>
              <w:right w:val="single" w:sz="4" w:space="0" w:color="000000"/>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50.80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7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9213" w:type="dxa"/>
            <w:gridSpan w:val="4"/>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A5A5A5"/>
                <w:sz w:val="20"/>
                <w:szCs w:val="20"/>
              </w:rPr>
            </w:pPr>
            <w:r w:rsidRPr="00A21A0E">
              <w:rPr>
                <w:rFonts w:eastAsia="Times New Roman"/>
                <w:color w:val="A5A5A5"/>
                <w:sz w:val="20"/>
                <w:szCs w:val="20"/>
              </w:rPr>
              <w:t>Note: FYE = Full Year Equivalency; calculated by dividing total credits by 30.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300"/>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9213" w:type="dxa"/>
            <w:gridSpan w:val="4"/>
            <w:tcBorders>
              <w:top w:val="nil"/>
              <w:left w:val="nil"/>
              <w:bottom w:val="nil"/>
              <w:right w:val="nil"/>
            </w:tcBorders>
            <w:shd w:val="clear" w:color="auto" w:fill="auto"/>
            <w:vAlign w:val="center"/>
            <w:hideMark/>
          </w:tcPr>
          <w:p w:rsidR="00A21A0E" w:rsidRPr="00A21A0E" w:rsidRDefault="00A21A0E" w:rsidP="00A21A0E">
            <w:pPr>
              <w:spacing w:after="0" w:line="240" w:lineRule="auto"/>
              <w:jc w:val="center"/>
              <w:rPr>
                <w:rFonts w:eastAsia="Times New Roman"/>
                <w:b/>
                <w:bCs/>
                <w:sz w:val="24"/>
                <w:szCs w:val="24"/>
              </w:rPr>
            </w:pPr>
            <w:r w:rsidRPr="00A21A0E">
              <w:rPr>
                <w:rFonts w:eastAsia="Times New Roman"/>
                <w:b/>
                <w:bCs/>
                <w:sz w:val="24"/>
                <w:szCs w:val="24"/>
              </w:rPr>
              <w:t>Course Frequencies</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title</w:t>
            </w:r>
          </w:p>
        </w:tc>
        <w:tc>
          <w:tcPr>
            <w:tcW w:w="1383" w:type="dxa"/>
            <w:tcBorders>
              <w:top w:val="single" w:sz="4" w:space="0" w:color="000000"/>
              <w:left w:val="nil"/>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2008</w:t>
            </w:r>
          </w:p>
        </w:tc>
        <w:tc>
          <w:tcPr>
            <w:tcW w:w="1383" w:type="dxa"/>
            <w:tcBorders>
              <w:top w:val="single" w:sz="4" w:space="0" w:color="000000"/>
              <w:left w:val="nil"/>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2009</w:t>
            </w:r>
          </w:p>
        </w:tc>
        <w:tc>
          <w:tcPr>
            <w:tcW w:w="1392" w:type="dxa"/>
            <w:tcBorders>
              <w:top w:val="single" w:sz="4" w:space="0" w:color="000000"/>
              <w:left w:val="nil"/>
              <w:bottom w:val="nil"/>
              <w:right w:val="single" w:sz="4" w:space="0" w:color="000000"/>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2010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xml:space="preserve"> # of Courses</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11</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11</w:t>
            </w:r>
          </w:p>
        </w:tc>
        <w:tc>
          <w:tcPr>
            <w:tcW w:w="1392" w:type="dxa"/>
            <w:tcBorders>
              <w:top w:val="single" w:sz="4" w:space="0" w:color="000000"/>
              <w:left w:val="nil"/>
              <w:bottom w:val="nil"/>
              <w:right w:val="single" w:sz="4" w:space="0" w:color="000000"/>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11</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xml:space="preserve"> # of Sections</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40</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41</w:t>
            </w:r>
          </w:p>
        </w:tc>
        <w:tc>
          <w:tcPr>
            <w:tcW w:w="1392" w:type="dxa"/>
            <w:tcBorders>
              <w:top w:val="single" w:sz="4" w:space="0" w:color="000000"/>
              <w:left w:val="nil"/>
              <w:bottom w:val="nil"/>
              <w:right w:val="single" w:sz="4" w:space="0" w:color="000000"/>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43</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xml:space="preserve"> # Enrolled</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502</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568</w:t>
            </w:r>
          </w:p>
        </w:tc>
        <w:tc>
          <w:tcPr>
            <w:tcW w:w="1392" w:type="dxa"/>
            <w:tcBorders>
              <w:top w:val="single" w:sz="4" w:space="0" w:color="000000"/>
              <w:left w:val="nil"/>
              <w:bottom w:val="nil"/>
              <w:right w:val="single" w:sz="4" w:space="0" w:color="000000"/>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606</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000000" w:fill="FFFFFF"/>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Average Section Size</w:t>
            </w:r>
          </w:p>
        </w:tc>
        <w:tc>
          <w:tcPr>
            <w:tcW w:w="1383" w:type="dxa"/>
            <w:tcBorders>
              <w:top w:val="single" w:sz="4" w:space="0" w:color="000000"/>
              <w:left w:val="nil"/>
              <w:bottom w:val="nil"/>
              <w:right w:val="nil"/>
            </w:tcBorders>
            <w:shd w:val="clear" w:color="000000" w:fill="FFFFFF"/>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12.55</w:t>
            </w:r>
          </w:p>
        </w:tc>
        <w:tc>
          <w:tcPr>
            <w:tcW w:w="1383" w:type="dxa"/>
            <w:tcBorders>
              <w:top w:val="single" w:sz="4" w:space="0" w:color="000000"/>
              <w:left w:val="nil"/>
              <w:bottom w:val="nil"/>
              <w:right w:val="nil"/>
            </w:tcBorders>
            <w:shd w:val="clear" w:color="000000" w:fill="FFFFFF"/>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13.85</w:t>
            </w:r>
          </w:p>
        </w:tc>
        <w:tc>
          <w:tcPr>
            <w:tcW w:w="1392" w:type="dxa"/>
            <w:tcBorders>
              <w:top w:val="single" w:sz="4" w:space="0" w:color="000000"/>
              <w:left w:val="nil"/>
              <w:bottom w:val="nil"/>
              <w:right w:val="single" w:sz="4" w:space="0" w:color="000000"/>
            </w:tcBorders>
            <w:shd w:val="clear" w:color="000000" w:fill="FFFFFF"/>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14.09</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xml:space="preserve"> # of Seats Offered</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794</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818</w:t>
            </w:r>
          </w:p>
        </w:tc>
        <w:tc>
          <w:tcPr>
            <w:tcW w:w="1392" w:type="dxa"/>
            <w:tcBorders>
              <w:top w:val="single" w:sz="4" w:space="0" w:color="000000"/>
              <w:left w:val="nil"/>
              <w:bottom w:val="nil"/>
              <w:right w:val="single" w:sz="4" w:space="0" w:color="000000"/>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782</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single" w:sz="4" w:space="0" w:color="000000"/>
              <w:right w:val="nil"/>
            </w:tcBorders>
            <w:shd w:val="clear" w:color="000000" w:fill="FFFFFF"/>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Seats Filled</w:t>
            </w:r>
          </w:p>
        </w:tc>
        <w:tc>
          <w:tcPr>
            <w:tcW w:w="1383" w:type="dxa"/>
            <w:tcBorders>
              <w:top w:val="single" w:sz="4" w:space="0" w:color="000000"/>
              <w:left w:val="nil"/>
              <w:bottom w:val="single" w:sz="4" w:space="0" w:color="000000"/>
              <w:right w:val="nil"/>
            </w:tcBorders>
            <w:shd w:val="clear" w:color="000000" w:fill="FFFFFF"/>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63%</w:t>
            </w:r>
          </w:p>
        </w:tc>
        <w:tc>
          <w:tcPr>
            <w:tcW w:w="1383" w:type="dxa"/>
            <w:tcBorders>
              <w:top w:val="single" w:sz="4" w:space="0" w:color="000000"/>
              <w:left w:val="nil"/>
              <w:bottom w:val="single" w:sz="4" w:space="0" w:color="000000"/>
              <w:right w:val="nil"/>
            </w:tcBorders>
            <w:shd w:val="clear" w:color="000000" w:fill="FFFFFF"/>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69%</w:t>
            </w:r>
          </w:p>
        </w:tc>
        <w:tc>
          <w:tcPr>
            <w:tcW w:w="1392" w:type="dxa"/>
            <w:tcBorders>
              <w:top w:val="single" w:sz="4" w:space="0" w:color="000000"/>
              <w:left w:val="nil"/>
              <w:bottom w:val="single" w:sz="4" w:space="0" w:color="000000"/>
              <w:right w:val="single" w:sz="4" w:space="0" w:color="000000"/>
            </w:tcBorders>
            <w:shd w:val="clear" w:color="000000" w:fill="FFFFFF"/>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77%</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7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6438" w:type="dxa"/>
            <w:gridSpan w:val="2"/>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A5A5A5"/>
                <w:sz w:val="20"/>
                <w:szCs w:val="20"/>
              </w:rPr>
            </w:pPr>
            <w:r w:rsidRPr="00A21A0E">
              <w:rPr>
                <w:rFonts w:eastAsia="Times New Roman"/>
                <w:color w:val="A5A5A5"/>
                <w:sz w:val="20"/>
                <w:szCs w:val="20"/>
              </w:rPr>
              <w:t>Note: Arranged sections are excluded.</w:t>
            </w: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808080"/>
                <w:sz w:val="20"/>
                <w:szCs w:val="20"/>
              </w:rPr>
            </w:pPr>
          </w:p>
        </w:tc>
        <w:tc>
          <w:tcPr>
            <w:tcW w:w="5055" w:type="dxa"/>
            <w:tcBorders>
              <w:top w:val="nil"/>
              <w:left w:val="nil"/>
              <w:bottom w:val="nil"/>
              <w:right w:val="nil"/>
            </w:tcBorders>
            <w:shd w:val="clear" w:color="auto" w:fill="auto"/>
            <w:noWrap/>
            <w:vAlign w:val="bottom"/>
            <w:hideMark/>
          </w:tcPr>
          <w:p w:rsidR="00A21A0E" w:rsidRDefault="00A21A0E" w:rsidP="00A21A0E">
            <w:pPr>
              <w:spacing w:after="0" w:line="240" w:lineRule="auto"/>
              <w:jc w:val="center"/>
              <w:rPr>
                <w:rFonts w:eastAsia="Times New Roman"/>
                <w:color w:val="000000"/>
                <w:sz w:val="20"/>
                <w:szCs w:val="20"/>
              </w:rPr>
            </w:pPr>
          </w:p>
          <w:p w:rsidR="002529A2" w:rsidRDefault="002529A2" w:rsidP="00A21A0E">
            <w:pPr>
              <w:spacing w:after="0" w:line="240" w:lineRule="auto"/>
              <w:jc w:val="center"/>
              <w:rPr>
                <w:rFonts w:eastAsia="Times New Roman"/>
                <w:color w:val="000000"/>
                <w:sz w:val="20"/>
                <w:szCs w:val="20"/>
              </w:rPr>
            </w:pPr>
          </w:p>
          <w:p w:rsidR="002529A2" w:rsidRDefault="002529A2" w:rsidP="00A21A0E">
            <w:pPr>
              <w:spacing w:after="0" w:line="240" w:lineRule="auto"/>
              <w:jc w:val="center"/>
              <w:rPr>
                <w:rFonts w:eastAsia="Times New Roman"/>
                <w:color w:val="000000"/>
                <w:sz w:val="20"/>
                <w:szCs w:val="20"/>
              </w:rPr>
            </w:pPr>
          </w:p>
          <w:p w:rsidR="002529A2" w:rsidRDefault="002529A2" w:rsidP="00A21A0E">
            <w:pPr>
              <w:spacing w:after="0" w:line="240" w:lineRule="auto"/>
              <w:jc w:val="center"/>
              <w:rPr>
                <w:rFonts w:eastAsia="Times New Roman"/>
                <w:color w:val="000000"/>
                <w:sz w:val="20"/>
                <w:szCs w:val="20"/>
              </w:rPr>
            </w:pPr>
          </w:p>
          <w:p w:rsidR="002529A2" w:rsidRDefault="002529A2" w:rsidP="00A21A0E">
            <w:pPr>
              <w:spacing w:after="0" w:line="240" w:lineRule="auto"/>
              <w:jc w:val="center"/>
              <w:rPr>
                <w:rFonts w:eastAsia="Times New Roman"/>
                <w:color w:val="000000"/>
                <w:sz w:val="20"/>
                <w:szCs w:val="20"/>
              </w:rPr>
            </w:pPr>
          </w:p>
          <w:p w:rsidR="002529A2" w:rsidRPr="00A21A0E" w:rsidRDefault="002529A2"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300"/>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9213" w:type="dxa"/>
            <w:gridSpan w:val="4"/>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b/>
                <w:bCs/>
                <w:sz w:val="24"/>
                <w:szCs w:val="24"/>
              </w:rPr>
            </w:pPr>
            <w:r w:rsidRPr="00A21A0E">
              <w:rPr>
                <w:rFonts w:eastAsia="Times New Roman"/>
                <w:b/>
                <w:bCs/>
                <w:sz w:val="24"/>
                <w:szCs w:val="24"/>
              </w:rPr>
              <w:t>Class Size Distribution</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class size</w:t>
            </w:r>
          </w:p>
        </w:tc>
        <w:tc>
          <w:tcPr>
            <w:tcW w:w="1383" w:type="dxa"/>
            <w:tcBorders>
              <w:top w:val="single" w:sz="4" w:space="0" w:color="000000"/>
              <w:left w:val="nil"/>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2008</w:t>
            </w:r>
          </w:p>
        </w:tc>
        <w:tc>
          <w:tcPr>
            <w:tcW w:w="1383" w:type="dxa"/>
            <w:tcBorders>
              <w:top w:val="single" w:sz="4" w:space="0" w:color="000000"/>
              <w:left w:val="nil"/>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2009</w:t>
            </w:r>
          </w:p>
        </w:tc>
        <w:tc>
          <w:tcPr>
            <w:tcW w:w="1392" w:type="dxa"/>
            <w:tcBorders>
              <w:top w:val="single" w:sz="4" w:space="0" w:color="000000"/>
              <w:left w:val="nil"/>
              <w:bottom w:val="nil"/>
              <w:right w:val="single" w:sz="4" w:space="0" w:color="000000"/>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2010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1-10</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17</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9</w:t>
            </w:r>
          </w:p>
        </w:tc>
        <w:tc>
          <w:tcPr>
            <w:tcW w:w="1392" w:type="dxa"/>
            <w:tcBorders>
              <w:top w:val="single" w:sz="4" w:space="0" w:color="000000"/>
              <w:left w:val="nil"/>
              <w:bottom w:val="nil"/>
              <w:right w:val="single" w:sz="4" w:space="0" w:color="000000"/>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12</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11-15</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8</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14</w:t>
            </w:r>
          </w:p>
        </w:tc>
        <w:tc>
          <w:tcPr>
            <w:tcW w:w="1392" w:type="dxa"/>
            <w:tcBorders>
              <w:top w:val="single" w:sz="4" w:space="0" w:color="000000"/>
              <w:left w:val="nil"/>
              <w:bottom w:val="nil"/>
              <w:right w:val="single" w:sz="4" w:space="0" w:color="000000"/>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16</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16-20</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7</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12</w:t>
            </w:r>
          </w:p>
        </w:tc>
        <w:tc>
          <w:tcPr>
            <w:tcW w:w="1392" w:type="dxa"/>
            <w:tcBorders>
              <w:top w:val="single" w:sz="4" w:space="0" w:color="000000"/>
              <w:left w:val="nil"/>
              <w:bottom w:val="nil"/>
              <w:right w:val="single" w:sz="4" w:space="0" w:color="000000"/>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11</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21-30</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8</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6</w:t>
            </w:r>
          </w:p>
        </w:tc>
        <w:tc>
          <w:tcPr>
            <w:tcW w:w="1392" w:type="dxa"/>
            <w:tcBorders>
              <w:top w:val="single" w:sz="4" w:space="0" w:color="000000"/>
              <w:left w:val="nil"/>
              <w:bottom w:val="nil"/>
              <w:right w:val="single" w:sz="4" w:space="0" w:color="000000"/>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31-40</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xml:space="preserve"> </w:t>
            </w:r>
          </w:p>
        </w:tc>
        <w:tc>
          <w:tcPr>
            <w:tcW w:w="1383" w:type="dxa"/>
            <w:tcBorders>
              <w:top w:val="single" w:sz="4" w:space="0" w:color="000000"/>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xml:space="preserve"> </w:t>
            </w:r>
          </w:p>
        </w:tc>
        <w:tc>
          <w:tcPr>
            <w:tcW w:w="1392" w:type="dxa"/>
            <w:tcBorders>
              <w:top w:val="single" w:sz="4" w:space="0" w:color="000000"/>
              <w:left w:val="nil"/>
              <w:bottom w:val="nil"/>
              <w:right w:val="single" w:sz="4" w:space="0" w:color="000000"/>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xml:space="preserve"> </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single" w:sz="4" w:space="0" w:color="000000"/>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Over 40</w:t>
            </w:r>
          </w:p>
        </w:tc>
        <w:tc>
          <w:tcPr>
            <w:tcW w:w="1383" w:type="dxa"/>
            <w:tcBorders>
              <w:top w:val="single" w:sz="4" w:space="0" w:color="000000"/>
              <w:left w:val="nil"/>
              <w:bottom w:val="single" w:sz="4" w:space="0" w:color="000000"/>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xml:space="preserve"> </w:t>
            </w:r>
          </w:p>
        </w:tc>
        <w:tc>
          <w:tcPr>
            <w:tcW w:w="1383" w:type="dxa"/>
            <w:tcBorders>
              <w:top w:val="single" w:sz="4" w:space="0" w:color="000000"/>
              <w:left w:val="nil"/>
              <w:bottom w:val="single" w:sz="4" w:space="0" w:color="000000"/>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xml:space="preserve"> </w:t>
            </w:r>
          </w:p>
        </w:tc>
        <w:tc>
          <w:tcPr>
            <w:tcW w:w="1392" w:type="dxa"/>
            <w:tcBorders>
              <w:top w:val="single" w:sz="4" w:space="0" w:color="000000"/>
              <w:left w:val="nil"/>
              <w:bottom w:val="single" w:sz="4" w:space="0" w:color="000000"/>
              <w:right w:val="single" w:sz="4" w:space="0" w:color="000000"/>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xml:space="preserve"> </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7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6438" w:type="dxa"/>
            <w:gridSpan w:val="2"/>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A5A5A5"/>
                <w:sz w:val="20"/>
                <w:szCs w:val="20"/>
              </w:rPr>
            </w:pPr>
            <w:r w:rsidRPr="00A21A0E">
              <w:rPr>
                <w:rFonts w:eastAsia="Times New Roman"/>
                <w:color w:val="A5A5A5"/>
                <w:sz w:val="20"/>
                <w:szCs w:val="20"/>
              </w:rPr>
              <w:t>Note: Arranged sections are excluded.</w:t>
            </w:r>
          </w:p>
        </w:tc>
        <w:tc>
          <w:tcPr>
            <w:tcW w:w="1383"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300"/>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9213" w:type="dxa"/>
            <w:gridSpan w:val="4"/>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b/>
                <w:bCs/>
                <w:sz w:val="24"/>
                <w:szCs w:val="24"/>
              </w:rPr>
            </w:pPr>
            <w:r w:rsidRPr="00A21A0E">
              <w:rPr>
                <w:rFonts w:eastAsia="Times New Roman"/>
                <w:b/>
                <w:bCs/>
                <w:sz w:val="24"/>
                <w:szCs w:val="24"/>
              </w:rPr>
              <w:t>Course Completion &amp; Withdrawals</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 xml:space="preserve"> </w:t>
            </w:r>
          </w:p>
        </w:tc>
        <w:tc>
          <w:tcPr>
            <w:tcW w:w="1383" w:type="dxa"/>
            <w:tcBorders>
              <w:top w:val="single" w:sz="4" w:space="0" w:color="000000"/>
              <w:left w:val="nil"/>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2008</w:t>
            </w:r>
          </w:p>
        </w:tc>
        <w:tc>
          <w:tcPr>
            <w:tcW w:w="1383" w:type="dxa"/>
            <w:tcBorders>
              <w:top w:val="single" w:sz="4" w:space="0" w:color="000000"/>
              <w:left w:val="nil"/>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2009</w:t>
            </w:r>
          </w:p>
        </w:tc>
        <w:tc>
          <w:tcPr>
            <w:tcW w:w="1392" w:type="dxa"/>
            <w:tcBorders>
              <w:top w:val="single" w:sz="4" w:space="0" w:color="000000"/>
              <w:left w:val="nil"/>
              <w:bottom w:val="nil"/>
              <w:right w:val="single" w:sz="4" w:space="0" w:color="000000"/>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2010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Grades of A, B, C</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334</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375</w:t>
            </w:r>
          </w:p>
        </w:tc>
        <w:tc>
          <w:tcPr>
            <w:tcW w:w="1392" w:type="dxa"/>
            <w:tcBorders>
              <w:top w:val="single" w:sz="4" w:space="0" w:color="000000"/>
              <w:left w:val="nil"/>
              <w:bottom w:val="nil"/>
              <w:right w:val="single" w:sz="4" w:space="0" w:color="000000"/>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420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Grades of D, F</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50</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67</w:t>
            </w:r>
          </w:p>
        </w:tc>
        <w:tc>
          <w:tcPr>
            <w:tcW w:w="1392" w:type="dxa"/>
            <w:tcBorders>
              <w:top w:val="single" w:sz="4" w:space="0" w:color="000000"/>
              <w:left w:val="nil"/>
              <w:bottom w:val="nil"/>
              <w:right w:val="single" w:sz="4" w:space="0" w:color="000000"/>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63</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Withdrawal</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119</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126</w:t>
            </w:r>
          </w:p>
        </w:tc>
        <w:tc>
          <w:tcPr>
            <w:tcW w:w="1392" w:type="dxa"/>
            <w:tcBorders>
              <w:top w:val="single" w:sz="4" w:space="0" w:color="000000"/>
              <w:left w:val="nil"/>
              <w:bottom w:val="nil"/>
              <w:right w:val="single" w:sz="4" w:space="0" w:color="000000"/>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123</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single" w:sz="4" w:space="0" w:color="000000"/>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 Successful</w:t>
            </w:r>
          </w:p>
        </w:tc>
        <w:tc>
          <w:tcPr>
            <w:tcW w:w="1383" w:type="dxa"/>
            <w:tcBorders>
              <w:top w:val="single" w:sz="4" w:space="0" w:color="000000"/>
              <w:left w:val="nil"/>
              <w:bottom w:val="single" w:sz="4" w:space="0" w:color="000000"/>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66%</w:t>
            </w:r>
          </w:p>
        </w:tc>
        <w:tc>
          <w:tcPr>
            <w:tcW w:w="1383" w:type="dxa"/>
            <w:tcBorders>
              <w:top w:val="single" w:sz="4" w:space="0" w:color="000000"/>
              <w:left w:val="nil"/>
              <w:bottom w:val="single" w:sz="4" w:space="0" w:color="000000"/>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66%</w:t>
            </w:r>
          </w:p>
        </w:tc>
        <w:tc>
          <w:tcPr>
            <w:tcW w:w="1392" w:type="dxa"/>
            <w:tcBorders>
              <w:top w:val="single" w:sz="4" w:space="0" w:color="000000"/>
              <w:left w:val="nil"/>
              <w:bottom w:val="single" w:sz="4" w:space="0" w:color="000000"/>
              <w:right w:val="single" w:sz="4" w:space="0" w:color="000000"/>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69%</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7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300"/>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9213" w:type="dxa"/>
            <w:gridSpan w:val="4"/>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b/>
                <w:bCs/>
                <w:sz w:val="24"/>
                <w:szCs w:val="24"/>
              </w:rPr>
            </w:pPr>
            <w:r w:rsidRPr="00A21A0E">
              <w:rPr>
                <w:rFonts w:eastAsia="Times New Roman"/>
                <w:b/>
                <w:bCs/>
                <w:sz w:val="24"/>
                <w:szCs w:val="24"/>
              </w:rPr>
              <w:t>Student/Faculty Ratio</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000000" w:fill="000000"/>
            <w:noWrap/>
            <w:vAlign w:val="bottom"/>
            <w:hideMark/>
          </w:tcPr>
          <w:p w:rsidR="00A21A0E" w:rsidRPr="00A21A0E" w:rsidRDefault="00A21A0E" w:rsidP="00A21A0E">
            <w:pPr>
              <w:spacing w:after="0" w:line="240" w:lineRule="auto"/>
              <w:rPr>
                <w:rFonts w:eastAsia="Times New Roman"/>
                <w:b/>
                <w:bCs/>
                <w:color w:val="FFFFFF"/>
              </w:rPr>
            </w:pPr>
            <w:r w:rsidRPr="00A21A0E">
              <w:rPr>
                <w:rFonts w:eastAsia="Times New Roman"/>
                <w:b/>
                <w:bCs/>
                <w:color w:val="FFFFFF"/>
              </w:rPr>
              <w:t xml:space="preserve"> </w:t>
            </w:r>
          </w:p>
        </w:tc>
        <w:tc>
          <w:tcPr>
            <w:tcW w:w="1383" w:type="dxa"/>
            <w:tcBorders>
              <w:top w:val="single" w:sz="4" w:space="0" w:color="000000"/>
              <w:left w:val="nil"/>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2008</w:t>
            </w:r>
          </w:p>
        </w:tc>
        <w:tc>
          <w:tcPr>
            <w:tcW w:w="1383" w:type="dxa"/>
            <w:tcBorders>
              <w:top w:val="single" w:sz="4" w:space="0" w:color="000000"/>
              <w:left w:val="nil"/>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2009</w:t>
            </w:r>
          </w:p>
        </w:tc>
        <w:tc>
          <w:tcPr>
            <w:tcW w:w="1392" w:type="dxa"/>
            <w:tcBorders>
              <w:top w:val="single" w:sz="4" w:space="0" w:color="000000"/>
              <w:left w:val="nil"/>
              <w:bottom w:val="nil"/>
              <w:right w:val="single" w:sz="4" w:space="0" w:color="000000"/>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2010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Student FYE</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42.40</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47.73</w:t>
            </w:r>
          </w:p>
        </w:tc>
        <w:tc>
          <w:tcPr>
            <w:tcW w:w="1392" w:type="dxa"/>
            <w:tcBorders>
              <w:top w:val="single" w:sz="4" w:space="0" w:color="000000"/>
              <w:left w:val="nil"/>
              <w:bottom w:val="nil"/>
              <w:right w:val="single" w:sz="4" w:space="0" w:color="000000"/>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47.73</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Faculty FTE</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3.37</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3.43</w:t>
            </w:r>
          </w:p>
        </w:tc>
        <w:tc>
          <w:tcPr>
            <w:tcW w:w="1392" w:type="dxa"/>
            <w:tcBorders>
              <w:top w:val="single" w:sz="4" w:space="0" w:color="000000"/>
              <w:left w:val="nil"/>
              <w:bottom w:val="nil"/>
              <w:right w:val="single" w:sz="4" w:space="0" w:color="000000"/>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3.60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single" w:sz="4" w:space="0" w:color="000000"/>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Student/Faculty Ratio</w:t>
            </w:r>
          </w:p>
        </w:tc>
        <w:tc>
          <w:tcPr>
            <w:tcW w:w="1383" w:type="dxa"/>
            <w:tcBorders>
              <w:top w:val="single" w:sz="4" w:space="0" w:color="000000"/>
              <w:left w:val="nil"/>
              <w:bottom w:val="single" w:sz="4" w:space="0" w:color="000000"/>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12.6</w:t>
            </w:r>
          </w:p>
        </w:tc>
        <w:tc>
          <w:tcPr>
            <w:tcW w:w="1383" w:type="dxa"/>
            <w:tcBorders>
              <w:top w:val="single" w:sz="4" w:space="0" w:color="000000"/>
              <w:left w:val="nil"/>
              <w:bottom w:val="single" w:sz="4" w:space="0" w:color="000000"/>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13.9</w:t>
            </w:r>
          </w:p>
        </w:tc>
        <w:tc>
          <w:tcPr>
            <w:tcW w:w="1392" w:type="dxa"/>
            <w:tcBorders>
              <w:top w:val="single" w:sz="4" w:space="0" w:color="000000"/>
              <w:left w:val="nil"/>
              <w:bottom w:val="single" w:sz="4" w:space="0" w:color="000000"/>
              <w:right w:val="single" w:sz="4" w:space="0" w:color="000000"/>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13.3</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7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9213" w:type="dxa"/>
            <w:gridSpan w:val="4"/>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7F7F7F"/>
                <w:sz w:val="20"/>
                <w:szCs w:val="20"/>
              </w:rPr>
            </w:pPr>
            <w:r w:rsidRPr="00A21A0E">
              <w:rPr>
                <w:rFonts w:eastAsia="Times New Roman"/>
                <w:color w:val="7F7F7F"/>
                <w:sz w:val="20"/>
                <w:szCs w:val="20"/>
              </w:rPr>
              <w:t>Note: Faculty FTE = add each course section credit and divide the sum by 30.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7F7F7F"/>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31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9213" w:type="dxa"/>
            <w:gridSpan w:val="4"/>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b/>
                <w:bCs/>
                <w:sz w:val="24"/>
                <w:szCs w:val="24"/>
              </w:rPr>
            </w:pPr>
            <w:r w:rsidRPr="00A21A0E">
              <w:rPr>
                <w:rFonts w:eastAsia="Times New Roman"/>
                <w:b/>
                <w:bCs/>
                <w:sz w:val="24"/>
                <w:szCs w:val="24"/>
              </w:rPr>
              <w:t>Department Costs</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000000" w:fill="000000"/>
            <w:noWrap/>
            <w:vAlign w:val="bottom"/>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Cost Center</w:t>
            </w:r>
          </w:p>
        </w:tc>
        <w:tc>
          <w:tcPr>
            <w:tcW w:w="1383" w:type="dxa"/>
            <w:tcBorders>
              <w:top w:val="single" w:sz="4" w:space="0" w:color="000000"/>
              <w:left w:val="nil"/>
              <w:bottom w:val="nil"/>
              <w:right w:val="nil"/>
            </w:tcBorders>
            <w:shd w:val="clear" w:color="000000" w:fill="000000"/>
            <w:noWrap/>
            <w:vAlign w:val="center"/>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2008</w:t>
            </w:r>
          </w:p>
        </w:tc>
        <w:tc>
          <w:tcPr>
            <w:tcW w:w="1383" w:type="dxa"/>
            <w:tcBorders>
              <w:top w:val="single" w:sz="4" w:space="0" w:color="000000"/>
              <w:left w:val="nil"/>
              <w:bottom w:val="nil"/>
              <w:right w:val="nil"/>
            </w:tcBorders>
            <w:shd w:val="clear" w:color="000000" w:fill="000000"/>
            <w:noWrap/>
            <w:vAlign w:val="center"/>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2009</w:t>
            </w:r>
          </w:p>
        </w:tc>
        <w:tc>
          <w:tcPr>
            <w:tcW w:w="1392" w:type="dxa"/>
            <w:tcBorders>
              <w:top w:val="single" w:sz="4" w:space="0" w:color="000000"/>
              <w:left w:val="nil"/>
              <w:bottom w:val="nil"/>
              <w:right w:val="single" w:sz="4" w:space="0" w:color="000000"/>
            </w:tcBorders>
            <w:shd w:val="clear" w:color="000000" w:fill="000000"/>
            <w:noWrap/>
            <w:vAlign w:val="center"/>
            <w:hideMark/>
          </w:tcPr>
          <w:p w:rsidR="00A21A0E" w:rsidRPr="00A21A0E" w:rsidRDefault="00A21A0E" w:rsidP="00A21A0E">
            <w:pPr>
              <w:spacing w:after="0" w:line="240" w:lineRule="auto"/>
              <w:jc w:val="center"/>
              <w:rPr>
                <w:rFonts w:eastAsia="Times New Roman"/>
                <w:b/>
                <w:bCs/>
                <w:color w:val="FFFFFF"/>
                <w:sz w:val="20"/>
                <w:szCs w:val="20"/>
              </w:rPr>
            </w:pPr>
            <w:r w:rsidRPr="00A21A0E">
              <w:rPr>
                <w:rFonts w:eastAsia="Times New Roman"/>
                <w:b/>
                <w:bCs/>
                <w:color w:val="FFFFFF"/>
                <w:sz w:val="20"/>
                <w:szCs w:val="20"/>
              </w:rPr>
              <w:t>2010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10114 Chemistry</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$190,783</w:t>
            </w:r>
          </w:p>
        </w:tc>
        <w:tc>
          <w:tcPr>
            <w:tcW w:w="1383" w:type="dxa"/>
            <w:tcBorders>
              <w:top w:val="single" w:sz="4" w:space="0" w:color="000000"/>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$209,300</w:t>
            </w:r>
          </w:p>
        </w:tc>
        <w:tc>
          <w:tcPr>
            <w:tcW w:w="1392" w:type="dxa"/>
            <w:tcBorders>
              <w:top w:val="single" w:sz="4" w:space="0" w:color="000000"/>
              <w:left w:val="nil"/>
              <w:bottom w:val="nil"/>
              <w:right w:val="single" w:sz="4" w:space="0" w:color="000000"/>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$238,890</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single" w:sz="4" w:space="0" w:color="000000"/>
              <w:left w:val="single" w:sz="4" w:space="0" w:color="000000"/>
              <w:bottom w:val="single" w:sz="4" w:space="0" w:color="000000"/>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Cost per Student FYE</w:t>
            </w:r>
          </w:p>
        </w:tc>
        <w:tc>
          <w:tcPr>
            <w:tcW w:w="1383" w:type="dxa"/>
            <w:tcBorders>
              <w:top w:val="single" w:sz="4" w:space="0" w:color="000000"/>
              <w:left w:val="nil"/>
              <w:bottom w:val="single" w:sz="4" w:space="0" w:color="000000"/>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4499.60</w:t>
            </w:r>
          </w:p>
        </w:tc>
        <w:tc>
          <w:tcPr>
            <w:tcW w:w="1383" w:type="dxa"/>
            <w:tcBorders>
              <w:top w:val="single" w:sz="4" w:space="0" w:color="000000"/>
              <w:left w:val="nil"/>
              <w:bottom w:val="single" w:sz="4" w:space="0" w:color="000000"/>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4385.08</w:t>
            </w:r>
          </w:p>
        </w:tc>
        <w:tc>
          <w:tcPr>
            <w:tcW w:w="1392" w:type="dxa"/>
            <w:tcBorders>
              <w:top w:val="single" w:sz="4" w:space="0" w:color="000000"/>
              <w:left w:val="nil"/>
              <w:bottom w:val="single" w:sz="4" w:space="0" w:color="000000"/>
              <w:right w:val="single" w:sz="4" w:space="0" w:color="000000"/>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r w:rsidRPr="00A21A0E">
              <w:rPr>
                <w:rFonts w:eastAsia="Times New Roman"/>
                <w:color w:val="000000"/>
                <w:sz w:val="20"/>
                <w:szCs w:val="20"/>
              </w:rPr>
              <w:t>4702.56</w:t>
            </w: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r w:rsidR="00A21A0E" w:rsidRPr="00A21A0E" w:rsidTr="00A21A0E">
        <w:trPr>
          <w:trHeight w:val="255"/>
        </w:trPr>
        <w:tc>
          <w:tcPr>
            <w:tcW w:w="12"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5055"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83"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1392" w:type="dxa"/>
            <w:tcBorders>
              <w:top w:val="nil"/>
              <w:left w:val="nil"/>
              <w:bottom w:val="nil"/>
              <w:right w:val="nil"/>
            </w:tcBorders>
            <w:shd w:val="clear" w:color="auto" w:fill="auto"/>
            <w:noWrap/>
            <w:vAlign w:val="center"/>
            <w:hideMark/>
          </w:tcPr>
          <w:p w:rsidR="00A21A0E" w:rsidRPr="00A21A0E" w:rsidRDefault="00A21A0E" w:rsidP="00A21A0E">
            <w:pPr>
              <w:spacing w:after="0" w:line="240" w:lineRule="auto"/>
              <w:jc w:val="center"/>
              <w:rPr>
                <w:rFonts w:eastAsia="Times New Roman"/>
                <w:color w:val="000000"/>
                <w:sz w:val="20"/>
                <w:szCs w:val="20"/>
              </w:rPr>
            </w:pPr>
          </w:p>
        </w:tc>
        <w:tc>
          <w:tcPr>
            <w:tcW w:w="20"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c>
          <w:tcPr>
            <w:tcW w:w="11" w:type="dxa"/>
            <w:tcBorders>
              <w:top w:val="nil"/>
              <w:left w:val="nil"/>
              <w:bottom w:val="nil"/>
              <w:right w:val="nil"/>
            </w:tcBorders>
            <w:shd w:val="clear" w:color="auto" w:fill="auto"/>
            <w:noWrap/>
            <w:vAlign w:val="bottom"/>
            <w:hideMark/>
          </w:tcPr>
          <w:p w:rsidR="00A21A0E" w:rsidRPr="00A21A0E" w:rsidRDefault="00A21A0E" w:rsidP="00A21A0E">
            <w:pPr>
              <w:spacing w:after="0" w:line="240" w:lineRule="auto"/>
              <w:rPr>
                <w:rFonts w:eastAsia="Times New Roman"/>
                <w:color w:val="000000"/>
                <w:sz w:val="20"/>
                <w:szCs w:val="20"/>
              </w:rPr>
            </w:pPr>
          </w:p>
        </w:tc>
      </w:tr>
    </w:tbl>
    <w:p w:rsidR="00494083" w:rsidRPr="00494083" w:rsidRDefault="00494083" w:rsidP="0098475B">
      <w:pPr>
        <w:spacing w:after="0" w:line="240" w:lineRule="auto"/>
        <w:rPr>
          <w:rFonts w:ascii="Times New Roman" w:hAnsi="Times New Roman"/>
          <w:sz w:val="24"/>
          <w:szCs w:val="24"/>
        </w:rPr>
      </w:pPr>
    </w:p>
    <w:sectPr w:rsidR="00494083" w:rsidRPr="00494083" w:rsidSect="00262FB6">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240F"/>
    <w:multiLevelType w:val="hybridMultilevel"/>
    <w:tmpl w:val="6988DDA8"/>
    <w:lvl w:ilvl="0" w:tplc="452E4B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DAA294F"/>
    <w:multiLevelType w:val="hybridMultilevel"/>
    <w:tmpl w:val="89D40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E38C0"/>
    <w:rsid w:val="00002A55"/>
    <w:rsid w:val="00025F07"/>
    <w:rsid w:val="000347AC"/>
    <w:rsid w:val="00096BA7"/>
    <w:rsid w:val="000A3F66"/>
    <w:rsid w:val="000C3416"/>
    <w:rsid w:val="000E1616"/>
    <w:rsid w:val="000E7B22"/>
    <w:rsid w:val="00154D1D"/>
    <w:rsid w:val="00160488"/>
    <w:rsid w:val="00176CFD"/>
    <w:rsid w:val="00191A22"/>
    <w:rsid w:val="00193425"/>
    <w:rsid w:val="001A1BCD"/>
    <w:rsid w:val="001D26DA"/>
    <w:rsid w:val="001F2041"/>
    <w:rsid w:val="00206851"/>
    <w:rsid w:val="002113AD"/>
    <w:rsid w:val="0023593A"/>
    <w:rsid w:val="00246157"/>
    <w:rsid w:val="0025223E"/>
    <w:rsid w:val="002529A2"/>
    <w:rsid w:val="00262FB6"/>
    <w:rsid w:val="00263303"/>
    <w:rsid w:val="0027427C"/>
    <w:rsid w:val="00281BC0"/>
    <w:rsid w:val="00296DF1"/>
    <w:rsid w:val="002A325D"/>
    <w:rsid w:val="00300BE6"/>
    <w:rsid w:val="00357BD1"/>
    <w:rsid w:val="00395EB6"/>
    <w:rsid w:val="003968E2"/>
    <w:rsid w:val="0040466D"/>
    <w:rsid w:val="00416A2D"/>
    <w:rsid w:val="0043582D"/>
    <w:rsid w:val="00494083"/>
    <w:rsid w:val="004D0884"/>
    <w:rsid w:val="004E4F2C"/>
    <w:rsid w:val="004F433B"/>
    <w:rsid w:val="004F7175"/>
    <w:rsid w:val="0055779E"/>
    <w:rsid w:val="0056037C"/>
    <w:rsid w:val="005E7B6E"/>
    <w:rsid w:val="00654B52"/>
    <w:rsid w:val="0065613B"/>
    <w:rsid w:val="006A527C"/>
    <w:rsid w:val="006B2D37"/>
    <w:rsid w:val="006D2C4A"/>
    <w:rsid w:val="006F3F28"/>
    <w:rsid w:val="0079558D"/>
    <w:rsid w:val="007B7936"/>
    <w:rsid w:val="007D29F3"/>
    <w:rsid w:val="007E4B67"/>
    <w:rsid w:val="007F6702"/>
    <w:rsid w:val="00844623"/>
    <w:rsid w:val="008A768C"/>
    <w:rsid w:val="008D7E59"/>
    <w:rsid w:val="009203E4"/>
    <w:rsid w:val="0092791A"/>
    <w:rsid w:val="00931F85"/>
    <w:rsid w:val="00963CFE"/>
    <w:rsid w:val="0098475B"/>
    <w:rsid w:val="009C1386"/>
    <w:rsid w:val="009F0F6A"/>
    <w:rsid w:val="00A21A0E"/>
    <w:rsid w:val="00A50277"/>
    <w:rsid w:val="00A57A02"/>
    <w:rsid w:val="00AA6672"/>
    <w:rsid w:val="00AC1903"/>
    <w:rsid w:val="00AF37E5"/>
    <w:rsid w:val="00B108B4"/>
    <w:rsid w:val="00B26359"/>
    <w:rsid w:val="00B637DA"/>
    <w:rsid w:val="00B87A45"/>
    <w:rsid w:val="00BE38C0"/>
    <w:rsid w:val="00CA2CF8"/>
    <w:rsid w:val="00CB087F"/>
    <w:rsid w:val="00CD683C"/>
    <w:rsid w:val="00D06183"/>
    <w:rsid w:val="00D45DA6"/>
    <w:rsid w:val="00D50D5D"/>
    <w:rsid w:val="00D638D9"/>
    <w:rsid w:val="00D74A4E"/>
    <w:rsid w:val="00DB6B1E"/>
    <w:rsid w:val="00DC2B70"/>
    <w:rsid w:val="00DF676F"/>
    <w:rsid w:val="00E17243"/>
    <w:rsid w:val="00E541CD"/>
    <w:rsid w:val="00E874F5"/>
    <w:rsid w:val="00EC0299"/>
    <w:rsid w:val="00EC1011"/>
    <w:rsid w:val="00F15887"/>
    <w:rsid w:val="00F61FA1"/>
    <w:rsid w:val="00FE0422"/>
    <w:rsid w:val="00FE5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8C0"/>
    <w:pPr>
      <w:spacing w:before="0" w:beforeAutospacing="0" w:after="200" w:line="276" w:lineRule="auto"/>
      <w:ind w:left="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66D"/>
    <w:pPr>
      <w:spacing w:before="100" w:beforeAutospacing="1" w:after="0" w:line="120" w:lineRule="auto"/>
      <w:ind w:left="720"/>
      <w:contextualSpacing/>
    </w:pPr>
    <w:rPr>
      <w:rFonts w:asciiTheme="minorHAnsi" w:eastAsiaTheme="minorHAnsi" w:hAnsiTheme="minorHAnsi" w:cstheme="minorBidi"/>
    </w:rPr>
  </w:style>
  <w:style w:type="paragraph" w:styleId="NoSpacing">
    <w:name w:val="No Spacing"/>
    <w:link w:val="NoSpacingChar"/>
    <w:uiPriority w:val="1"/>
    <w:qFormat/>
    <w:rsid w:val="00262FB6"/>
    <w:pPr>
      <w:spacing w:before="0" w:beforeAutospacing="0" w:line="240" w:lineRule="auto"/>
      <w:ind w:left="0"/>
    </w:pPr>
    <w:rPr>
      <w:rFonts w:eastAsiaTheme="minorEastAsia"/>
    </w:rPr>
  </w:style>
  <w:style w:type="character" w:customStyle="1" w:styleId="NoSpacingChar">
    <w:name w:val="No Spacing Char"/>
    <w:basedOn w:val="DefaultParagraphFont"/>
    <w:link w:val="NoSpacing"/>
    <w:uiPriority w:val="1"/>
    <w:rsid w:val="00262FB6"/>
    <w:rPr>
      <w:rFonts w:eastAsiaTheme="minorEastAsia"/>
    </w:rPr>
  </w:style>
  <w:style w:type="paragraph" w:styleId="BalloonText">
    <w:name w:val="Balloon Text"/>
    <w:basedOn w:val="Normal"/>
    <w:link w:val="BalloonTextChar"/>
    <w:uiPriority w:val="99"/>
    <w:semiHidden/>
    <w:unhideWhenUsed/>
    <w:rsid w:val="00262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FB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18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Chemistry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8757AD-1A3C-4130-96FC-6BA76479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Program Review</vt:lpstr>
    </vt:vector>
  </TitlesOfParts>
  <Company>East Central Collgeg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dc:title>
  <dc:subject>Annual Report</dc:subject>
  <dc:creator>Fatemeh Nichols, Ph.D</dc:creator>
  <cp:lastModifiedBy>ECC USER</cp:lastModifiedBy>
  <cp:revision>2</cp:revision>
  <cp:lastPrinted>2010-09-20T17:57:00Z</cp:lastPrinted>
  <dcterms:created xsi:type="dcterms:W3CDTF">2010-11-05T15:43:00Z</dcterms:created>
  <dcterms:modified xsi:type="dcterms:W3CDTF">2010-11-05T15:43:00Z</dcterms:modified>
</cp:coreProperties>
</file>