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19" w:type="dxa"/>
        <w:tblInd w:w="872" w:type="dxa"/>
        <w:tblCellMar>
          <w:top w:w="7" w:type="dxa"/>
          <w:right w:w="115" w:type="dxa"/>
        </w:tblCellMar>
        <w:tblLook w:val="04A0" w:firstRow="1" w:lastRow="0" w:firstColumn="1" w:lastColumn="0" w:noHBand="0" w:noVBand="1"/>
      </w:tblPr>
      <w:tblGrid>
        <w:gridCol w:w="893"/>
        <w:gridCol w:w="8526"/>
      </w:tblGrid>
      <w:tr w:rsidR="00715B20" w:rsidTr="004E480E">
        <w:trPr>
          <w:trHeight w:val="828"/>
        </w:trPr>
        <w:tc>
          <w:tcPr>
            <w:tcW w:w="893" w:type="dxa"/>
            <w:tcBorders>
              <w:top w:val="nil"/>
              <w:left w:val="nil"/>
              <w:bottom w:val="nil"/>
              <w:right w:val="nil"/>
            </w:tcBorders>
            <w:shd w:val="clear" w:color="auto" w:fill="D9D9D9"/>
          </w:tcPr>
          <w:p w:rsidR="00715B20" w:rsidRDefault="00715B20" w:rsidP="004E480E">
            <w:pPr>
              <w:ind w:left="29"/>
            </w:pPr>
            <w:r>
              <w:rPr>
                <w:rFonts w:ascii="Times New Roman" w:eastAsia="Times New Roman" w:hAnsi="Times New Roman" w:cs="Times New Roman"/>
                <w:b/>
                <w:sz w:val="24"/>
              </w:rPr>
              <w:t xml:space="preserve">5.19 </w:t>
            </w:r>
          </w:p>
          <w:p w:rsidR="00715B20" w:rsidRDefault="00715B20" w:rsidP="004E480E">
            <w:pPr>
              <w:ind w:left="29"/>
            </w:pPr>
            <w:r>
              <w:rPr>
                <w:rFonts w:ascii="Times New Roman" w:eastAsia="Times New Roman" w:hAnsi="Times New Roman" w:cs="Times New Roman"/>
                <w:b/>
                <w:sz w:val="24"/>
              </w:rPr>
              <w:t xml:space="preserve"> </w:t>
            </w:r>
          </w:p>
        </w:tc>
        <w:tc>
          <w:tcPr>
            <w:tcW w:w="8526" w:type="dxa"/>
            <w:tcBorders>
              <w:top w:val="nil"/>
              <w:left w:val="nil"/>
              <w:bottom w:val="nil"/>
              <w:right w:val="nil"/>
            </w:tcBorders>
            <w:shd w:val="clear" w:color="auto" w:fill="D9D9D9"/>
          </w:tcPr>
          <w:p w:rsidR="00715B20" w:rsidRDefault="00715B20" w:rsidP="004E480E">
            <w:r>
              <w:rPr>
                <w:rFonts w:ascii="Times New Roman" w:eastAsia="Times New Roman" w:hAnsi="Times New Roman" w:cs="Times New Roman"/>
                <w:b/>
                <w:sz w:val="24"/>
              </w:rPr>
              <w:t xml:space="preserve">Job Transfer </w:t>
            </w:r>
            <w:r>
              <w:rPr>
                <w:rFonts w:ascii="Times New Roman" w:eastAsia="Times New Roman" w:hAnsi="Times New Roman" w:cs="Times New Roman"/>
                <w:b/>
                <w:i/>
                <w:sz w:val="18"/>
              </w:rPr>
              <w:t>(Adopted 6-1-1992; Revised 5-9-2005, 12-2-2013)</w:t>
            </w:r>
            <w:r>
              <w:rPr>
                <w:rFonts w:ascii="Times New Roman" w:eastAsia="Times New Roman" w:hAnsi="Times New Roman" w:cs="Times New Roman"/>
                <w:b/>
                <w:sz w:val="24"/>
              </w:rPr>
              <w:t xml:space="preserve">     </w:t>
            </w:r>
          </w:p>
          <w:p w:rsidR="00715B20" w:rsidRDefault="00715B20" w:rsidP="004E480E">
            <w:r>
              <w:rPr>
                <w:rFonts w:ascii="Times New Roman" w:eastAsia="Times New Roman" w:hAnsi="Times New Roman" w:cs="Times New Roman"/>
                <w:sz w:val="24"/>
              </w:rPr>
              <w:t xml:space="preserve">Transfer of personnel will be made in the best interest of the College.  The length of service and qualifications of the person will be taken into consideration. </w:t>
            </w:r>
          </w:p>
        </w:tc>
      </w:tr>
    </w:tbl>
    <w:p w:rsidR="00715B20" w:rsidRDefault="00715B20" w:rsidP="00715B20">
      <w:pPr>
        <w:spacing w:after="33"/>
        <w:ind w:left="900"/>
      </w:pPr>
      <w:r>
        <w:rPr>
          <w:rFonts w:ascii="Times New Roman" w:eastAsia="Times New Roman" w:hAnsi="Times New Roman" w:cs="Times New Roman"/>
          <w:sz w:val="24"/>
        </w:rPr>
        <w:t xml:space="preserve"> </w:t>
      </w:r>
    </w:p>
    <w:p w:rsidR="00715B20" w:rsidRDefault="00715B20" w:rsidP="00715B20">
      <w:pPr>
        <w:tabs>
          <w:tab w:val="center" w:pos="900"/>
          <w:tab w:val="center" w:pos="3178"/>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Procedures:  </w:t>
      </w:r>
      <w:r>
        <w:rPr>
          <w:rFonts w:ascii="Times New Roman" w:eastAsia="Times New Roman" w:hAnsi="Times New Roman" w:cs="Times New Roman"/>
          <w:b/>
          <w:i/>
          <w:sz w:val="18"/>
        </w:rPr>
        <w:t>(Revised 4-6-2006)</w:t>
      </w:r>
      <w:r>
        <w:rPr>
          <w:rFonts w:ascii="Times New Roman" w:eastAsia="Times New Roman" w:hAnsi="Times New Roman" w:cs="Times New Roman"/>
          <w:sz w:val="24"/>
        </w:rPr>
        <w:t xml:space="preserve"> </w:t>
      </w:r>
    </w:p>
    <w:p w:rsidR="00715B20" w:rsidRDefault="00715B20" w:rsidP="00715B20">
      <w:pPr>
        <w:spacing w:after="94"/>
        <w:ind w:left="900"/>
      </w:pPr>
      <w:r>
        <w:rPr>
          <w:rFonts w:ascii="Times New Roman" w:eastAsia="Times New Roman" w:hAnsi="Times New Roman" w:cs="Times New Roman"/>
          <w:sz w:val="16"/>
        </w:rPr>
        <w:t xml:space="preserve"> </w:t>
      </w:r>
    </w:p>
    <w:p w:rsidR="00715B20" w:rsidRDefault="00715B20" w:rsidP="00715B20">
      <w:pPr>
        <w:pStyle w:val="Heading4"/>
        <w:tabs>
          <w:tab w:val="center" w:pos="2100"/>
          <w:tab w:val="center" w:pos="3787"/>
        </w:tabs>
        <w:ind w:left="0" w:firstLine="0"/>
      </w:pPr>
      <w:r>
        <w:rPr>
          <w:rFonts w:ascii="Calibri" w:eastAsia="Calibri" w:hAnsi="Calibri" w:cs="Calibri"/>
          <w:b w:val="0"/>
          <w:sz w:val="22"/>
        </w:rPr>
        <w:tab/>
      </w:r>
      <w:r>
        <w:t>5.19.1</w:t>
      </w:r>
      <w:r>
        <w:rPr>
          <w:b w:val="0"/>
        </w:rPr>
        <w:t xml:space="preserve"> </w:t>
      </w:r>
      <w:r>
        <w:rPr>
          <w:b w:val="0"/>
        </w:rPr>
        <w:tab/>
      </w:r>
      <w:r>
        <w:t>Reasons for Transfer</w:t>
      </w:r>
      <w:r>
        <w:rPr>
          <w:b w:val="0"/>
        </w:rPr>
        <w:t xml:space="preserve"> </w:t>
      </w:r>
    </w:p>
    <w:p w:rsidR="00715B20" w:rsidRDefault="00715B20" w:rsidP="00715B20">
      <w:pPr>
        <w:spacing w:after="53"/>
        <w:ind w:left="1800"/>
      </w:pPr>
      <w:r>
        <w:rPr>
          <w:rFonts w:ascii="Times New Roman" w:eastAsia="Times New Roman" w:hAnsi="Times New Roman" w:cs="Times New Roman"/>
          <w:sz w:val="16"/>
        </w:rPr>
        <w:t xml:space="preserve"> </w:t>
      </w:r>
    </w:p>
    <w:p w:rsidR="00715B20" w:rsidRDefault="00715B20" w:rsidP="00715B20">
      <w:pPr>
        <w:spacing w:after="3" w:line="247" w:lineRule="auto"/>
        <w:ind w:left="2700" w:right="201" w:hanging="900"/>
        <w:jc w:val="both"/>
      </w:pPr>
      <w:r>
        <w:rPr>
          <w:rFonts w:ascii="Times New Roman" w:eastAsia="Times New Roman" w:hAnsi="Times New Roman" w:cs="Times New Roman"/>
          <w:sz w:val="24"/>
        </w:rPr>
        <w:t xml:space="preserve"> The College retains complete discretion in handling employee transfers.  Acceptable reasons for transfer may include, but are not necessarily limited to, fluctuations in workloads, better utilization of personnel or increased career opportunities, and health considerations.   </w:t>
      </w:r>
    </w:p>
    <w:p w:rsidR="00715B20" w:rsidRDefault="00715B20" w:rsidP="00715B20">
      <w:pPr>
        <w:spacing w:after="100"/>
        <w:ind w:left="1800"/>
      </w:pPr>
      <w:r>
        <w:rPr>
          <w:rFonts w:ascii="Times New Roman" w:eastAsia="Times New Roman" w:hAnsi="Times New Roman" w:cs="Times New Roman"/>
          <w:sz w:val="16"/>
        </w:rPr>
        <w:t xml:space="preserve"> </w:t>
      </w:r>
    </w:p>
    <w:p w:rsidR="00715B20" w:rsidRDefault="00715B20" w:rsidP="00715B20">
      <w:pPr>
        <w:tabs>
          <w:tab w:val="center" w:pos="2100"/>
          <w:tab w:val="center" w:pos="5090"/>
        </w:tabs>
        <w:spacing w:after="14" w:line="250" w:lineRule="auto"/>
      </w:pPr>
      <w:r>
        <w:tab/>
      </w:r>
      <w:r>
        <w:rPr>
          <w:rFonts w:ascii="Times New Roman" w:eastAsia="Times New Roman" w:hAnsi="Times New Roman" w:cs="Times New Roman"/>
          <w:b/>
          <w:sz w:val="24"/>
        </w:rPr>
        <w:t>5.19</w:t>
      </w:r>
      <w:r>
        <w:rPr>
          <w:rFonts w:ascii="Times New Roman" w:eastAsia="Times New Roman" w:hAnsi="Times New Roman" w:cs="Times New Roman"/>
          <w:sz w:val="24"/>
        </w:rPr>
        <w:t>.</w:t>
      </w:r>
      <w:r>
        <w:rPr>
          <w:rFonts w:ascii="Times New Roman" w:eastAsia="Times New Roman" w:hAnsi="Times New Roman" w:cs="Times New Roman"/>
          <w:b/>
          <w:sz w:val="24"/>
        </w:rPr>
        <w:t xml:space="preserve">2 </w:t>
      </w:r>
      <w:r>
        <w:rPr>
          <w:rFonts w:ascii="Times New Roman" w:eastAsia="Times New Roman" w:hAnsi="Times New Roman" w:cs="Times New Roman"/>
          <w:b/>
          <w:sz w:val="24"/>
        </w:rPr>
        <w:tab/>
        <w:t>Pay for Transferred Employees</w:t>
      </w:r>
      <w:r>
        <w:rPr>
          <w:rFonts w:ascii="Times New Roman" w:eastAsia="Times New Roman" w:hAnsi="Times New Roman" w:cs="Times New Roman"/>
          <w:sz w:val="24"/>
        </w:rPr>
        <w:t xml:space="preserve"> </w:t>
      </w:r>
      <w:r>
        <w:rPr>
          <w:rFonts w:ascii="Times New Roman" w:eastAsia="Times New Roman" w:hAnsi="Times New Roman" w:cs="Times New Roman"/>
          <w:b/>
          <w:i/>
          <w:sz w:val="18"/>
        </w:rPr>
        <w:t>(Revised 12-2-2013)</w:t>
      </w:r>
      <w:r>
        <w:rPr>
          <w:rFonts w:ascii="Times New Roman" w:eastAsia="Times New Roman" w:hAnsi="Times New Roman" w:cs="Times New Roman"/>
          <w:sz w:val="24"/>
        </w:rPr>
        <w:t xml:space="preserve"> </w:t>
      </w:r>
    </w:p>
    <w:p w:rsidR="00715B20" w:rsidRDefault="00715B20" w:rsidP="00715B20">
      <w:pPr>
        <w:spacing w:after="85"/>
        <w:ind w:left="1800"/>
      </w:pPr>
      <w:r>
        <w:rPr>
          <w:rFonts w:ascii="Times New Roman" w:eastAsia="Times New Roman" w:hAnsi="Times New Roman" w:cs="Times New Roman"/>
          <w:sz w:val="16"/>
        </w:rPr>
        <w:t xml:space="preserve"> </w:t>
      </w:r>
    </w:p>
    <w:p w:rsidR="00715B20" w:rsidRDefault="00715B20" w:rsidP="00715B20">
      <w:pPr>
        <w:tabs>
          <w:tab w:val="center" w:pos="1800"/>
          <w:tab w:val="center" w:pos="5075"/>
        </w:tabs>
        <w:spacing w:after="3" w:line="247"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Pay for employees will be determined as follows: </w:t>
      </w:r>
    </w:p>
    <w:p w:rsidR="00715B20" w:rsidRDefault="00715B20" w:rsidP="00715B20">
      <w:pPr>
        <w:spacing w:after="0"/>
        <w:ind w:left="1800"/>
      </w:pPr>
      <w:r>
        <w:rPr>
          <w:rFonts w:ascii="Times New Roman" w:eastAsia="Times New Roman" w:hAnsi="Times New Roman" w:cs="Times New Roman"/>
          <w:sz w:val="16"/>
        </w:rPr>
        <w:t xml:space="preserve"> </w:t>
      </w:r>
    </w:p>
    <w:p w:rsidR="00715B20" w:rsidRDefault="00715B20" w:rsidP="00715B20">
      <w:pPr>
        <w:spacing w:after="0"/>
        <w:ind w:left="1800"/>
      </w:pPr>
      <w:r>
        <w:rPr>
          <w:rFonts w:ascii="Times New Roman" w:eastAsia="Times New Roman" w:hAnsi="Times New Roman" w:cs="Times New Roman"/>
          <w:sz w:val="16"/>
        </w:rPr>
        <w:t xml:space="preserve"> </w:t>
      </w:r>
    </w:p>
    <w:p w:rsidR="00715B20" w:rsidRDefault="00715B20" w:rsidP="00715B20">
      <w:pPr>
        <w:pStyle w:val="Heading3"/>
        <w:tabs>
          <w:tab w:val="center" w:pos="2817"/>
          <w:tab w:val="center" w:pos="4149"/>
        </w:tabs>
        <w:ind w:left="0" w:firstLine="0"/>
      </w:pPr>
      <w:r>
        <w:rPr>
          <w:rFonts w:ascii="Calibri" w:eastAsia="Calibri" w:hAnsi="Calibri" w:cs="Calibri"/>
          <w:b w:val="0"/>
          <w:sz w:val="22"/>
        </w:rPr>
        <w:tab/>
      </w:r>
      <w:r>
        <w:t xml:space="preserve">A. </w:t>
      </w:r>
      <w:r>
        <w:tab/>
        <w:t xml:space="preserve">Lateral Transfers </w:t>
      </w:r>
    </w:p>
    <w:p w:rsidR="00715B20" w:rsidRDefault="00715B20" w:rsidP="00715B20">
      <w:pPr>
        <w:spacing w:after="53"/>
        <w:ind w:left="2700"/>
      </w:pPr>
      <w:r>
        <w:rPr>
          <w:rFonts w:ascii="Times New Roman" w:eastAsia="Times New Roman" w:hAnsi="Times New Roman" w:cs="Times New Roman"/>
          <w:b/>
          <w:sz w:val="16"/>
        </w:rPr>
        <w:t xml:space="preserve"> </w:t>
      </w:r>
    </w:p>
    <w:p w:rsidR="00715B20" w:rsidRDefault="00715B20" w:rsidP="00715B20">
      <w:pPr>
        <w:spacing w:after="3" w:line="247" w:lineRule="auto"/>
        <w:ind w:left="3225" w:right="201" w:hanging="540"/>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Employees transferred to a job within the same classification will continue to receive their existing rate of pay. </w:t>
      </w:r>
    </w:p>
    <w:p w:rsidR="00715B20" w:rsidRDefault="00715B20" w:rsidP="00715B20">
      <w:pPr>
        <w:spacing w:after="91"/>
        <w:ind w:left="2700"/>
      </w:pPr>
      <w:r>
        <w:rPr>
          <w:rFonts w:ascii="Times New Roman" w:eastAsia="Times New Roman" w:hAnsi="Times New Roman" w:cs="Times New Roman"/>
          <w:sz w:val="16"/>
        </w:rPr>
        <w:t xml:space="preserve"> </w:t>
      </w:r>
    </w:p>
    <w:p w:rsidR="00715B20" w:rsidRDefault="00715B20" w:rsidP="00715B20">
      <w:pPr>
        <w:pStyle w:val="Heading3"/>
        <w:tabs>
          <w:tab w:val="center" w:pos="2811"/>
          <w:tab w:val="center" w:pos="4911"/>
        </w:tabs>
        <w:ind w:left="0" w:firstLine="0"/>
      </w:pPr>
      <w:r>
        <w:rPr>
          <w:rFonts w:ascii="Calibri" w:eastAsia="Calibri" w:hAnsi="Calibri" w:cs="Calibri"/>
          <w:b w:val="0"/>
          <w:sz w:val="22"/>
        </w:rPr>
        <w:tab/>
      </w:r>
      <w:r>
        <w:t>B.</w:t>
      </w:r>
      <w:r>
        <w:rPr>
          <w:b w:val="0"/>
        </w:rPr>
        <w:t xml:space="preserve"> </w:t>
      </w:r>
      <w:r>
        <w:rPr>
          <w:b w:val="0"/>
        </w:rPr>
        <w:tab/>
      </w:r>
      <w:r>
        <w:t xml:space="preserve">Transfer to Lower Classification </w:t>
      </w:r>
    </w:p>
    <w:p w:rsidR="00715B20" w:rsidRDefault="00715B20" w:rsidP="00715B20">
      <w:pPr>
        <w:spacing w:after="53"/>
        <w:ind w:left="3240"/>
      </w:pPr>
      <w:r>
        <w:rPr>
          <w:rFonts w:ascii="Times New Roman" w:eastAsia="Times New Roman" w:hAnsi="Times New Roman" w:cs="Times New Roman"/>
          <w:b/>
          <w:sz w:val="16"/>
        </w:rPr>
        <w:t xml:space="preserve"> </w:t>
      </w:r>
    </w:p>
    <w:p w:rsidR="00715B20" w:rsidRDefault="00715B20" w:rsidP="00715B20">
      <w:pPr>
        <w:spacing w:after="3" w:line="247" w:lineRule="auto"/>
        <w:ind w:left="3243" w:right="201" w:hanging="3"/>
        <w:jc w:val="both"/>
      </w:pPr>
      <w:r>
        <w:rPr>
          <w:rFonts w:ascii="Times New Roman" w:eastAsia="Times New Roman" w:hAnsi="Times New Roman" w:cs="Times New Roman"/>
          <w:sz w:val="24"/>
        </w:rPr>
        <w:t xml:space="preserve">Employees  transferred  or reclassified to a job  in   a lower classification will continue to be paid at their former rate of pay for four weeks or end of current contractual obligations, if applicable, and then at the new </w:t>
      </w:r>
      <w:r>
        <w:rPr>
          <w:rFonts w:ascii="Times New Roman" w:eastAsia="Times New Roman" w:hAnsi="Times New Roman" w:cs="Times New Roman"/>
          <w:strike/>
          <w:sz w:val="24"/>
        </w:rPr>
        <w:t>job</w:t>
      </w:r>
      <w:r>
        <w:rPr>
          <w:rFonts w:ascii="Times New Roman" w:eastAsia="Times New Roman" w:hAnsi="Times New Roman" w:cs="Times New Roman"/>
          <w:sz w:val="24"/>
        </w:rPr>
        <w:t xml:space="preserve"> rate of pay thereafter. </w:t>
      </w:r>
    </w:p>
    <w:p w:rsidR="00715B20" w:rsidRDefault="00715B20" w:rsidP="00715B20">
      <w:pPr>
        <w:spacing w:after="60"/>
        <w:ind w:left="3240"/>
      </w:pP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p>
    <w:p w:rsidR="00715B20" w:rsidRDefault="00715B20" w:rsidP="00715B20">
      <w:pPr>
        <w:spacing w:after="3" w:line="247" w:lineRule="auto"/>
        <w:ind w:left="3243" w:right="201" w:hanging="3"/>
        <w:jc w:val="both"/>
      </w:pPr>
      <w:r>
        <w:rPr>
          <w:rFonts w:ascii="Times New Roman" w:eastAsia="Times New Roman" w:hAnsi="Times New Roman" w:cs="Times New Roman"/>
          <w:sz w:val="24"/>
        </w:rPr>
        <w:t xml:space="preserve">The new salary will be calculated according to the salary placement guidelines as used for new hires. </w:t>
      </w:r>
    </w:p>
    <w:p w:rsidR="00715B20" w:rsidRDefault="00715B20" w:rsidP="00715B20">
      <w:pPr>
        <w:spacing w:after="92"/>
        <w:ind w:left="2700"/>
      </w:pPr>
      <w:r>
        <w:rPr>
          <w:rFonts w:ascii="Times New Roman" w:eastAsia="Times New Roman" w:hAnsi="Times New Roman" w:cs="Times New Roman"/>
          <w:sz w:val="16"/>
        </w:rPr>
        <w:t xml:space="preserve"> </w:t>
      </w:r>
    </w:p>
    <w:p w:rsidR="00715B20" w:rsidRDefault="00715B20" w:rsidP="00715B20">
      <w:pPr>
        <w:pStyle w:val="Heading3"/>
        <w:tabs>
          <w:tab w:val="center" w:pos="2817"/>
          <w:tab w:val="center" w:pos="4937"/>
        </w:tabs>
        <w:ind w:left="0" w:firstLine="0"/>
      </w:pPr>
      <w:r>
        <w:rPr>
          <w:rFonts w:ascii="Calibri" w:eastAsia="Calibri" w:hAnsi="Calibri" w:cs="Calibri"/>
          <w:b w:val="0"/>
          <w:sz w:val="22"/>
        </w:rPr>
        <w:tab/>
      </w:r>
      <w:r>
        <w:t>C.</w:t>
      </w:r>
      <w:r>
        <w:rPr>
          <w:b w:val="0"/>
        </w:rPr>
        <w:t xml:space="preserve"> </w:t>
      </w:r>
      <w:r>
        <w:rPr>
          <w:b w:val="0"/>
        </w:rPr>
        <w:tab/>
      </w:r>
      <w:r>
        <w:t xml:space="preserve">Transfer to Higher Classification </w:t>
      </w:r>
    </w:p>
    <w:p w:rsidR="00715B20" w:rsidRDefault="00715B20" w:rsidP="00715B20">
      <w:pPr>
        <w:spacing w:after="53"/>
        <w:ind w:left="2700"/>
      </w:pPr>
      <w:r>
        <w:rPr>
          <w:rFonts w:ascii="Times New Roman" w:eastAsia="Times New Roman" w:hAnsi="Times New Roman" w:cs="Times New Roman"/>
          <w:b/>
          <w:sz w:val="16"/>
        </w:rPr>
        <w:t xml:space="preserve"> </w:t>
      </w:r>
    </w:p>
    <w:p w:rsidR="00715B20" w:rsidRDefault="00715B20" w:rsidP="00715B20">
      <w:pPr>
        <w:spacing w:after="3" w:line="247" w:lineRule="auto"/>
        <w:ind w:left="3225" w:right="201" w:hanging="540"/>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Employees transferred or reclassified to a job in a higher classification will be placed at the appropriate salary according to the salary placement guidelines as used for new hires or no less than six percent higher than the employee’s current salary commencing with the start of the new job.   </w:t>
      </w:r>
    </w:p>
    <w:p w:rsidR="00715B20" w:rsidRDefault="00715B20" w:rsidP="00715B20">
      <w:pPr>
        <w:spacing w:after="101"/>
        <w:ind w:left="2700"/>
      </w:pPr>
      <w:r>
        <w:rPr>
          <w:rFonts w:ascii="Times New Roman" w:eastAsia="Times New Roman" w:hAnsi="Times New Roman" w:cs="Times New Roman"/>
          <w:sz w:val="16"/>
        </w:rPr>
        <w:t xml:space="preserve"> </w:t>
      </w:r>
    </w:p>
    <w:p w:rsidR="00715B20" w:rsidRDefault="00715B20" w:rsidP="00715B20">
      <w:pPr>
        <w:pStyle w:val="Heading3"/>
        <w:tabs>
          <w:tab w:val="center" w:pos="2817"/>
          <w:tab w:val="center" w:pos="6453"/>
        </w:tabs>
        <w:ind w:left="0" w:firstLine="0"/>
      </w:pPr>
      <w:bookmarkStart w:id="0" w:name="_GoBack"/>
      <w:bookmarkEnd w:id="0"/>
      <w:r>
        <w:lastRenderedPageBreak/>
        <w:t xml:space="preserve">D. </w:t>
      </w:r>
      <w:r>
        <w:tab/>
        <w:t xml:space="preserve">Transfer from Non-Faculty Position to Faculty </w:t>
      </w:r>
      <w:r>
        <w:rPr>
          <w:i/>
          <w:sz w:val="18"/>
        </w:rPr>
        <w:t>(Adopted 12-2- 2013)</w:t>
      </w:r>
      <w:r>
        <w:t xml:space="preserve"> </w:t>
      </w:r>
    </w:p>
    <w:p w:rsidR="00715B20" w:rsidRDefault="00715B20" w:rsidP="00715B20">
      <w:pPr>
        <w:spacing w:after="56"/>
        <w:ind w:left="2700"/>
      </w:pPr>
      <w:r>
        <w:rPr>
          <w:rFonts w:ascii="Times New Roman" w:eastAsia="Times New Roman" w:hAnsi="Times New Roman" w:cs="Times New Roman"/>
          <w:sz w:val="16"/>
        </w:rPr>
        <w:t xml:space="preserve"> </w:t>
      </w:r>
    </w:p>
    <w:p w:rsidR="00715B20" w:rsidRDefault="00715B20" w:rsidP="00715B20">
      <w:pPr>
        <w:spacing w:after="3" w:line="247" w:lineRule="auto"/>
        <w:ind w:left="3225" w:right="201" w:hanging="540"/>
        <w:jc w:val="both"/>
      </w:pPr>
      <w:r>
        <w:rPr>
          <w:rFonts w:ascii="Times New Roman" w:eastAsia="Times New Roman" w:hAnsi="Times New Roman" w:cs="Times New Roman"/>
          <w:sz w:val="24"/>
        </w:rPr>
        <w:t xml:space="preserve"> Employees transferred or reclassified will be placed at the appropriate faculty salary commencing with the start of the new position. Credentials, relevant experience and years of service to the College will be considered in determining the appropriate salary. </w:t>
      </w:r>
    </w:p>
    <w:p w:rsidR="00715B20" w:rsidRDefault="00715B20" w:rsidP="00715B20">
      <w:pPr>
        <w:spacing w:after="103"/>
        <w:ind w:left="2700"/>
      </w:pPr>
      <w:r>
        <w:rPr>
          <w:rFonts w:ascii="Times New Roman" w:eastAsia="Times New Roman" w:hAnsi="Times New Roman" w:cs="Times New Roman"/>
          <w:sz w:val="16"/>
        </w:rPr>
        <w:t xml:space="preserve"> </w:t>
      </w:r>
    </w:p>
    <w:p w:rsidR="00715B20" w:rsidRDefault="00715B20" w:rsidP="00715B20">
      <w:pPr>
        <w:pStyle w:val="Heading3"/>
        <w:tabs>
          <w:tab w:val="center" w:pos="2811"/>
          <w:tab w:val="center" w:pos="6431"/>
        </w:tabs>
        <w:ind w:left="0" w:firstLine="0"/>
      </w:pPr>
      <w:r>
        <w:rPr>
          <w:rFonts w:ascii="Calibri" w:eastAsia="Calibri" w:hAnsi="Calibri" w:cs="Calibri"/>
          <w:b w:val="0"/>
          <w:sz w:val="22"/>
        </w:rPr>
        <w:tab/>
      </w:r>
      <w:r>
        <w:t xml:space="preserve">E. </w:t>
      </w:r>
      <w:r>
        <w:tab/>
        <w:t xml:space="preserve">Transfer from Faculty to Non-Faculty Position </w:t>
      </w:r>
      <w:r>
        <w:rPr>
          <w:i/>
          <w:sz w:val="18"/>
        </w:rPr>
        <w:t>(Adopted 12-2-2013)</w:t>
      </w:r>
      <w:r>
        <w:t xml:space="preserve"> </w:t>
      </w:r>
    </w:p>
    <w:p w:rsidR="00715B20" w:rsidRDefault="00715B20" w:rsidP="00715B20">
      <w:pPr>
        <w:spacing w:after="53"/>
        <w:ind w:left="2700"/>
      </w:pPr>
      <w:r>
        <w:rPr>
          <w:rFonts w:ascii="Times New Roman" w:eastAsia="Times New Roman" w:hAnsi="Times New Roman" w:cs="Times New Roman"/>
          <w:sz w:val="16"/>
        </w:rPr>
        <w:t xml:space="preserve"> </w:t>
      </w:r>
    </w:p>
    <w:p w:rsidR="00715B20" w:rsidRDefault="00715B20" w:rsidP="00715B20">
      <w:pPr>
        <w:spacing w:after="3" w:line="247" w:lineRule="auto"/>
        <w:ind w:left="2688" w:right="201" w:hanging="3"/>
        <w:jc w:val="both"/>
      </w:pPr>
      <w:r>
        <w:rPr>
          <w:rFonts w:ascii="Times New Roman" w:eastAsia="Times New Roman" w:hAnsi="Times New Roman" w:cs="Times New Roman"/>
          <w:sz w:val="24"/>
        </w:rPr>
        <w:t xml:space="preserve"> Employees transferred or reclassified will be placed at the appropriate salary according to the salary placement guidelines commencing with the start of the new position.  Credentials, relevant experience and years of service to the College will be considered in determining appropriate salary.  </w:t>
      </w:r>
      <w:r>
        <w:rPr>
          <w:rFonts w:ascii="Times New Roman" w:eastAsia="Times New Roman" w:hAnsi="Times New Roman" w:cs="Times New Roman"/>
          <w:sz w:val="32"/>
        </w:rPr>
        <w:t xml:space="preserve"> </w:t>
      </w:r>
    </w:p>
    <w:p w:rsidR="001150B0" w:rsidRDefault="001150B0"/>
    <w:sectPr w:rsidR="00115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B20"/>
    <w:rsid w:val="001150B0"/>
    <w:rsid w:val="0071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E4CA3-3535-4E58-BFC6-8F2EBF39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B20"/>
    <w:rPr>
      <w:rFonts w:ascii="Calibri" w:eastAsia="Calibri" w:hAnsi="Calibri" w:cs="Calibri"/>
      <w:color w:val="000000"/>
    </w:rPr>
  </w:style>
  <w:style w:type="paragraph" w:styleId="Heading3">
    <w:name w:val="heading 3"/>
    <w:next w:val="Normal"/>
    <w:link w:val="Heading3Char"/>
    <w:uiPriority w:val="9"/>
    <w:unhideWhenUsed/>
    <w:qFormat/>
    <w:rsid w:val="00715B20"/>
    <w:pPr>
      <w:keepNext/>
      <w:keepLines/>
      <w:spacing w:after="14" w:line="250" w:lineRule="auto"/>
      <w:ind w:left="910"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rsid w:val="00715B20"/>
    <w:pPr>
      <w:keepNext/>
      <w:keepLines/>
      <w:spacing w:after="14" w:line="250" w:lineRule="auto"/>
      <w:ind w:left="91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15B20"/>
    <w:rPr>
      <w:rFonts w:ascii="Times New Roman" w:eastAsia="Times New Roman" w:hAnsi="Times New Roman" w:cs="Times New Roman"/>
      <w:b/>
      <w:color w:val="000000"/>
      <w:sz w:val="24"/>
    </w:rPr>
  </w:style>
  <w:style w:type="character" w:customStyle="1" w:styleId="Heading4Char">
    <w:name w:val="Heading 4 Char"/>
    <w:basedOn w:val="DefaultParagraphFont"/>
    <w:link w:val="Heading4"/>
    <w:uiPriority w:val="9"/>
    <w:rsid w:val="00715B20"/>
    <w:rPr>
      <w:rFonts w:ascii="Times New Roman" w:eastAsia="Times New Roman" w:hAnsi="Times New Roman" w:cs="Times New Roman"/>
      <w:b/>
      <w:color w:val="000000"/>
      <w:sz w:val="24"/>
    </w:rPr>
  </w:style>
  <w:style w:type="table" w:customStyle="1" w:styleId="TableGrid">
    <w:name w:val="TableGrid"/>
    <w:rsid w:val="00715B20"/>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1</cp:revision>
  <dcterms:created xsi:type="dcterms:W3CDTF">2016-09-15T16:05:00Z</dcterms:created>
  <dcterms:modified xsi:type="dcterms:W3CDTF">2016-09-15T16:06:00Z</dcterms:modified>
</cp:coreProperties>
</file>