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D64" w:rsidRDefault="009D6BA9" w:rsidP="005A2C16">
      <w:pPr>
        <w:shd w:val="clear" w:color="auto" w:fill="FFFFFF"/>
        <w:spacing w:before="0" w:beforeAutospacing="0" w:after="0" w:afterAutospacing="0"/>
        <w:rPr>
          <w:rFonts w:eastAsia="Times New Roman"/>
          <w:b/>
          <w:bCs/>
          <w:i/>
          <w:iCs/>
          <w:color w:val="000000"/>
          <w:szCs w:val="24"/>
        </w:rPr>
      </w:pPr>
      <w:r>
        <w:rPr>
          <w:rFonts w:cs="Arial"/>
          <w:b/>
          <w:noProof/>
          <w:szCs w:val="24"/>
        </w:rPr>
        <w:drawing>
          <wp:anchor distT="0" distB="0" distL="114300" distR="114300" simplePos="0" relativeHeight="251659264" behindDoc="1" locked="0" layoutInCell="1" allowOverlap="1" wp14:anchorId="7A149319" wp14:editId="025C2C22">
            <wp:simplePos x="0" y="0"/>
            <wp:positionH relativeFrom="column">
              <wp:posOffset>1165860</wp:posOffset>
            </wp:positionH>
            <wp:positionV relativeFrom="paragraph">
              <wp:posOffset>-45720</wp:posOffset>
            </wp:positionV>
            <wp:extent cx="3657600" cy="594360"/>
            <wp:effectExtent l="0" t="0" r="0" b="0"/>
            <wp:wrapTight wrapText="bothSides">
              <wp:wrapPolygon edited="0">
                <wp:start x="9338" y="0"/>
                <wp:lineTo x="8663" y="692"/>
                <wp:lineTo x="0" y="11077"/>
                <wp:lineTo x="0" y="18000"/>
                <wp:lineTo x="9113" y="20769"/>
                <wp:lineTo x="11025" y="20769"/>
                <wp:lineTo x="21488" y="18000"/>
                <wp:lineTo x="21488" y="11769"/>
                <wp:lineTo x="15863" y="10385"/>
                <wp:lineTo x="15638" y="1385"/>
                <wp:lineTo x="13613" y="0"/>
                <wp:lineTo x="933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-ECC-Letterhead-Logo-Out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59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353F" w:rsidRDefault="005E353F" w:rsidP="00726D64">
      <w:pPr>
        <w:shd w:val="clear" w:color="auto" w:fill="FFFFFF"/>
        <w:rPr>
          <w:rFonts w:eastAsia="Times New Roman"/>
          <w:b/>
          <w:bCs/>
          <w:i/>
          <w:iCs/>
          <w:color w:val="000000"/>
          <w:szCs w:val="24"/>
        </w:rPr>
      </w:pPr>
    </w:p>
    <w:p w:rsidR="009D6BA9" w:rsidRPr="000C31D0" w:rsidRDefault="009D6BA9" w:rsidP="009D6BA9">
      <w:pPr>
        <w:jc w:val="center"/>
        <w:rPr>
          <w:rFonts w:cs="Arial"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Calculating Hours of Work for Adjunct Instructors </w:t>
      </w:r>
      <w:bookmarkStart w:id="0" w:name="_GoBack"/>
      <w:bookmarkEnd w:id="0"/>
    </w:p>
    <w:p w:rsidR="00C17FFE" w:rsidRDefault="00D752C2" w:rsidP="001C1B10">
      <w:pPr>
        <w:shd w:val="clear" w:color="auto" w:fill="FFFFFF"/>
      </w:pPr>
      <w:r w:rsidRPr="00E53F04">
        <w:rPr>
          <w:rFonts w:eastAsia="Times New Roman"/>
          <w:bCs/>
          <w:iCs/>
          <w:color w:val="000000"/>
          <w:szCs w:val="24"/>
        </w:rPr>
        <w:t xml:space="preserve">In February 2014, </w:t>
      </w:r>
      <w:r w:rsidR="00C17FFE" w:rsidRPr="00E53F04">
        <w:rPr>
          <w:rFonts w:eastAsia="Times New Roman"/>
          <w:bCs/>
          <w:iCs/>
          <w:color w:val="000000"/>
          <w:szCs w:val="24"/>
        </w:rPr>
        <w:t>A</w:t>
      </w:r>
      <w:r w:rsidR="00726D64" w:rsidRPr="00E53F04">
        <w:rPr>
          <w:rFonts w:eastAsia="Times New Roman"/>
          <w:bCs/>
          <w:iCs/>
          <w:color w:val="000000"/>
          <w:szCs w:val="24"/>
        </w:rPr>
        <w:t xml:space="preserve">ffordable Care Act Regulations </w:t>
      </w:r>
      <w:r w:rsidR="00C17FFE" w:rsidRPr="00726D64">
        <w:rPr>
          <w:rFonts w:eastAsia="Times New Roman"/>
          <w:color w:val="000000"/>
          <w:szCs w:val="24"/>
        </w:rPr>
        <w:t>provide</w:t>
      </w:r>
      <w:r w:rsidR="008034B3">
        <w:rPr>
          <w:rFonts w:eastAsia="Times New Roman"/>
          <w:color w:val="000000"/>
          <w:szCs w:val="24"/>
        </w:rPr>
        <w:t>d</w:t>
      </w:r>
      <w:r w:rsidR="00C17FFE" w:rsidRPr="00726D64">
        <w:rPr>
          <w:rFonts w:eastAsia="Times New Roman"/>
          <w:color w:val="000000"/>
          <w:szCs w:val="24"/>
        </w:rPr>
        <w:t xml:space="preserve"> guidance on </w:t>
      </w:r>
      <w:r w:rsidR="008034B3">
        <w:rPr>
          <w:rFonts w:eastAsia="Times New Roman"/>
          <w:color w:val="000000"/>
          <w:szCs w:val="24"/>
        </w:rPr>
        <w:t xml:space="preserve">a </w:t>
      </w:r>
      <w:r w:rsidR="00C17FFE" w:rsidRPr="00726D64">
        <w:rPr>
          <w:rFonts w:eastAsia="Times New Roman"/>
          <w:color w:val="000000"/>
          <w:szCs w:val="24"/>
        </w:rPr>
        <w:t xml:space="preserve">method for determining adjunct faculty </w:t>
      </w:r>
      <w:r w:rsidR="008034B3">
        <w:rPr>
          <w:rFonts w:eastAsia="Times New Roman"/>
          <w:color w:val="000000"/>
          <w:szCs w:val="24"/>
        </w:rPr>
        <w:t>credit hours as hours of work. Calculate one credit hour o</w:t>
      </w:r>
      <w:r w:rsidR="009E061E">
        <w:rPr>
          <w:rFonts w:eastAsia="Times New Roman"/>
          <w:color w:val="000000"/>
          <w:szCs w:val="24"/>
        </w:rPr>
        <w:t>f</w:t>
      </w:r>
      <w:r w:rsidR="009E061E" w:rsidRPr="009E061E">
        <w:rPr>
          <w:rFonts w:eastAsia="Times New Roman"/>
          <w:color w:val="000000"/>
          <w:szCs w:val="24"/>
        </w:rPr>
        <w:t xml:space="preserve"> </w:t>
      </w:r>
      <w:r w:rsidR="009E061E" w:rsidRPr="00726D64">
        <w:rPr>
          <w:rFonts w:eastAsia="Times New Roman"/>
          <w:color w:val="000000"/>
          <w:szCs w:val="24"/>
        </w:rPr>
        <w:t>teaching or classroom time</w:t>
      </w:r>
      <w:r w:rsidR="009E061E">
        <w:rPr>
          <w:rFonts w:eastAsia="Times New Roman"/>
          <w:color w:val="000000"/>
          <w:szCs w:val="24"/>
        </w:rPr>
        <w:t xml:space="preserve"> as one hour of work and calculate an additional 1.25 hours of work for activities</w:t>
      </w:r>
      <w:r w:rsidR="00E53F04">
        <w:rPr>
          <w:rFonts w:eastAsia="Times New Roman"/>
          <w:color w:val="000000"/>
          <w:szCs w:val="24"/>
        </w:rPr>
        <w:t xml:space="preserve"> outside of the classroom</w:t>
      </w:r>
      <w:r w:rsidR="009E061E">
        <w:rPr>
          <w:rFonts w:eastAsia="Times New Roman"/>
          <w:color w:val="000000"/>
          <w:szCs w:val="24"/>
        </w:rPr>
        <w:t xml:space="preserve"> such as class preparation</w:t>
      </w:r>
      <w:r w:rsidR="00E53F04">
        <w:rPr>
          <w:rFonts w:eastAsia="Times New Roman"/>
          <w:color w:val="000000"/>
          <w:szCs w:val="24"/>
        </w:rPr>
        <w:t xml:space="preserve">, </w:t>
      </w:r>
      <w:r w:rsidR="000F4BF4">
        <w:rPr>
          <w:rFonts w:eastAsia="Times New Roman"/>
          <w:color w:val="000000"/>
          <w:szCs w:val="24"/>
        </w:rPr>
        <w:t>student contact</w:t>
      </w:r>
      <w:r w:rsidR="009E061E">
        <w:rPr>
          <w:rFonts w:eastAsia="Times New Roman"/>
          <w:color w:val="000000"/>
          <w:szCs w:val="24"/>
        </w:rPr>
        <w:t xml:space="preserve"> and grading. </w:t>
      </w:r>
      <w:r w:rsidR="001C1B10">
        <w:rPr>
          <w:rFonts w:eastAsia="Times New Roman"/>
          <w:color w:val="000000"/>
          <w:szCs w:val="24"/>
        </w:rPr>
        <w:t xml:space="preserve"> </w:t>
      </w:r>
      <w:r w:rsidR="00B0795E">
        <w:t xml:space="preserve">ECC will </w:t>
      </w:r>
      <w:r w:rsidR="00D463DA">
        <w:t>use</w:t>
      </w:r>
      <w:r w:rsidR="001C1B10">
        <w:t xml:space="preserve"> </w:t>
      </w:r>
      <w:r w:rsidR="007F1310">
        <w:t>the 2.25 calculation for hours worked</w:t>
      </w:r>
      <w:r w:rsidR="00B0795E">
        <w:t xml:space="preserve"> </w:t>
      </w:r>
      <w:r w:rsidR="00D116B5">
        <w:t>for lecture, arranged, and ind</w:t>
      </w:r>
      <w:r w:rsidR="005E6B37">
        <w:t>ependent study</w:t>
      </w:r>
      <w:r w:rsidR="00D116B5">
        <w:t xml:space="preserve"> courses</w:t>
      </w:r>
      <w:r w:rsidR="007F1310">
        <w:t xml:space="preserve"> effective with the fall 2014 assignment sheets</w:t>
      </w:r>
      <w:r w:rsidR="00B0795E">
        <w:t>.</w:t>
      </w:r>
      <w:r w:rsidR="00D116B5">
        <w:t xml:space="preserve">  </w:t>
      </w:r>
      <w:r w:rsidR="00D463DA">
        <w:t xml:space="preserve">The </w:t>
      </w:r>
      <w:r w:rsidR="0030414E">
        <w:t xml:space="preserve">calculation </w:t>
      </w:r>
      <w:r w:rsidR="00D463DA">
        <w:t xml:space="preserve">for ECC is 1.87 hours of work which is based on a 50 minute class for a one credit hour course. </w:t>
      </w:r>
      <w:r w:rsidR="007F1310">
        <w:t>(5/6 of an hour x 2.25 factor</w:t>
      </w:r>
      <w:r w:rsidR="00A17063">
        <w:t xml:space="preserve"> </w:t>
      </w:r>
      <w:r w:rsidR="007F1310">
        <w:t>= 1.87 hours of work)</w:t>
      </w:r>
      <w:r w:rsidR="0030414E">
        <w:t xml:space="preserve">. </w:t>
      </w:r>
    </w:p>
    <w:p w:rsidR="00097D42" w:rsidRDefault="00B0795E" w:rsidP="009D6BA9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ECC one credit hour lecture course </w:t>
      </w:r>
      <w:r w:rsidR="0057583C">
        <w:t xml:space="preserve">(classroom, online, web enhanced, and/or hybrid instruction) </w:t>
      </w:r>
      <w:r>
        <w:t xml:space="preserve">will be </w:t>
      </w:r>
      <w:r w:rsidR="00D116B5">
        <w:t xml:space="preserve">considered </w:t>
      </w:r>
      <w:r>
        <w:t>1.87</w:t>
      </w:r>
      <w:r w:rsidR="000F4BF4">
        <w:t xml:space="preserve"> hours</w:t>
      </w:r>
      <w:r>
        <w:t xml:space="preserve"> </w:t>
      </w:r>
      <w:r w:rsidR="00D116B5">
        <w:t>of work</w:t>
      </w:r>
      <w:r>
        <w:t xml:space="preserve">. </w:t>
      </w:r>
    </w:p>
    <w:p w:rsidR="0030414E" w:rsidRDefault="0030414E" w:rsidP="009D6BA9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ECC one credit hour </w:t>
      </w:r>
      <w:r w:rsidR="00A17063">
        <w:t>arranged or independent study</w:t>
      </w:r>
      <w:r>
        <w:t xml:space="preserve"> course will be considered 1.87 hours of work</w:t>
      </w:r>
      <w:r w:rsidR="00A17063">
        <w:t>.</w:t>
      </w:r>
      <w:r>
        <w:t xml:space="preserve"> </w:t>
      </w:r>
    </w:p>
    <w:p w:rsidR="00097D42" w:rsidRDefault="00097D42" w:rsidP="009D6BA9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ECC one credit hour lab </w:t>
      </w:r>
      <w:r w:rsidR="000F4BF4">
        <w:t xml:space="preserve">course will be </w:t>
      </w:r>
      <w:r w:rsidR="0057583C">
        <w:t xml:space="preserve">considered </w:t>
      </w:r>
      <w:r w:rsidR="000F4BF4">
        <w:t xml:space="preserve">2.0 hours </w:t>
      </w:r>
      <w:r w:rsidR="00D116B5">
        <w:t xml:space="preserve">of work </w:t>
      </w:r>
      <w:r w:rsidR="000F4BF4">
        <w:t>which is based on</w:t>
      </w:r>
      <w:r>
        <w:t xml:space="preserve"> lab time and </w:t>
      </w:r>
      <w:r w:rsidR="00B0795E">
        <w:t xml:space="preserve">outside </w:t>
      </w:r>
      <w:r w:rsidR="000F4BF4">
        <w:t>lab preparation.</w:t>
      </w:r>
    </w:p>
    <w:p w:rsidR="00A17063" w:rsidRDefault="00A17063" w:rsidP="009D6BA9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ECC one credit hour art studio or music theory courses will be considered 2.0 hours of work which is based on student contact.</w:t>
      </w:r>
    </w:p>
    <w:p w:rsidR="00A17063" w:rsidRDefault="00D116B5" w:rsidP="009D6BA9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ECC one credit hour </w:t>
      </w:r>
      <w:r w:rsidR="0057583C">
        <w:t>physical education</w:t>
      </w:r>
      <w:r>
        <w:t xml:space="preserve"> course will be</w:t>
      </w:r>
      <w:r w:rsidR="0057583C">
        <w:t xml:space="preserve"> considered</w:t>
      </w:r>
      <w:r w:rsidR="00A17063">
        <w:t xml:space="preserve"> 2.0 hours which is based on student contact.</w:t>
      </w:r>
    </w:p>
    <w:p w:rsidR="00D116B5" w:rsidRDefault="00D116B5" w:rsidP="009D6BA9">
      <w:pPr>
        <w:pStyle w:val="ListParagraph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ECC</w:t>
      </w:r>
      <w:r w:rsidR="005E6B37">
        <w:t xml:space="preserve"> </w:t>
      </w:r>
      <w:r>
        <w:t xml:space="preserve">one credit hour </w:t>
      </w:r>
      <w:r w:rsidR="005E6B37">
        <w:t>internship and/or clinical</w:t>
      </w:r>
      <w:r>
        <w:t xml:space="preserve"> will be </w:t>
      </w:r>
      <w:r w:rsidR="005E6B37">
        <w:t>1.66</w:t>
      </w:r>
      <w:r>
        <w:t xml:space="preserve"> hours </w:t>
      </w:r>
      <w:r w:rsidR="005E6B37">
        <w:t xml:space="preserve">of work </w:t>
      </w:r>
      <w:r>
        <w:t xml:space="preserve">which is based </w:t>
      </w:r>
      <w:r w:rsidR="00D463DA">
        <w:t xml:space="preserve">on </w:t>
      </w:r>
      <w:r w:rsidR="005E6B37">
        <w:t>student contact and instruction.</w:t>
      </w:r>
    </w:p>
    <w:p w:rsidR="00205FAA" w:rsidRDefault="00E44296" w:rsidP="00205FAA">
      <w:r>
        <w:t>Adjuncts</w:t>
      </w:r>
      <w:r w:rsidR="00205FAA">
        <w:t xml:space="preserve"> with no DESE license to teach </w:t>
      </w:r>
      <w:r>
        <w:t xml:space="preserve">and no PSRS membership </w:t>
      </w:r>
      <w:r w:rsidR="00205FAA">
        <w:t xml:space="preserve">qualify for PEERS retirement if working 20 or more hours per week.  </w:t>
      </w:r>
    </w:p>
    <w:p w:rsidR="001C1B10" w:rsidRDefault="00E44296" w:rsidP="00205FAA">
      <w:r>
        <w:t>Adjunct instructors with active PSRS membership or with a DESE license to teach qualify for PSRS retirement contribution if working 17 or more hours per week.  Contribution to social security is not required.</w:t>
      </w:r>
    </w:p>
    <w:p w:rsidR="00E44296" w:rsidRDefault="00E44296" w:rsidP="00205FAA">
      <w:r>
        <w:t>Adjunct instructors that are PSRS/PEERS retirees are limited to 550 hours worked for the academic year (August through May).</w:t>
      </w:r>
    </w:p>
    <w:p w:rsidR="00D861CB" w:rsidRDefault="00D861CB" w:rsidP="00D861CB">
      <w:r>
        <w:t xml:space="preserve">Since 2008, calculating retirement eligibility for adjunct instructors was based on a one credit hour lecture class equals 50 minutes (5/6 hour) of Instruction (classroom, online, web enhanced, hybrid) plus an estimated 50 minutes of outside class time.  </w:t>
      </w:r>
    </w:p>
    <w:p w:rsidR="00D861CB" w:rsidRDefault="00D861CB" w:rsidP="00D861CB">
      <w:pPr>
        <w:spacing w:before="0" w:beforeAutospacing="0" w:after="0" w:afterAutospacing="0"/>
      </w:pPr>
      <w:r>
        <w:t>One credit hour lecture class was equal to an estimated 1.66 hours of work per week.</w:t>
      </w:r>
    </w:p>
    <w:p w:rsidR="00914DEB" w:rsidRDefault="00914DEB" w:rsidP="00205FAA">
      <w:pPr>
        <w:rPr>
          <w:b/>
        </w:rPr>
      </w:pPr>
    </w:p>
    <w:p w:rsidR="00A17063" w:rsidRPr="009D6BA9" w:rsidRDefault="009D6BA9" w:rsidP="00205FAA">
      <w:pPr>
        <w:rPr>
          <w:b/>
        </w:rPr>
      </w:pPr>
      <w:r>
        <w:rPr>
          <w:b/>
        </w:rPr>
        <w:lastRenderedPageBreak/>
        <w:t xml:space="preserve">Hours of Work </w:t>
      </w:r>
      <w:r w:rsidR="00A17063" w:rsidRPr="009D6BA9">
        <w:rPr>
          <w:b/>
        </w:rPr>
        <w:t>Calculation Chart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924"/>
        <w:gridCol w:w="1596"/>
        <w:gridCol w:w="1596"/>
        <w:gridCol w:w="2634"/>
      </w:tblGrid>
      <w:tr w:rsidR="00A17063" w:rsidTr="00D57566">
        <w:tc>
          <w:tcPr>
            <w:tcW w:w="2268" w:type="dxa"/>
          </w:tcPr>
          <w:p w:rsidR="00A17063" w:rsidRPr="009D6BA9" w:rsidRDefault="00A17063" w:rsidP="00A17063">
            <w:pPr>
              <w:rPr>
                <w:b/>
              </w:rPr>
            </w:pPr>
            <w:r w:rsidRPr="009D6BA9">
              <w:rPr>
                <w:b/>
              </w:rPr>
              <w:t>Lecture, Arranged, Independent Study Credit Hour(s)</w:t>
            </w:r>
          </w:p>
        </w:tc>
        <w:tc>
          <w:tcPr>
            <w:tcW w:w="924" w:type="dxa"/>
          </w:tcPr>
          <w:p w:rsidR="00A17063" w:rsidRPr="009D6BA9" w:rsidRDefault="00A17063">
            <w:pPr>
              <w:rPr>
                <w:b/>
              </w:rPr>
            </w:pPr>
            <w:r w:rsidRPr="009D6BA9">
              <w:rPr>
                <w:b/>
              </w:rPr>
              <w:t>Factor</w:t>
            </w:r>
          </w:p>
        </w:tc>
        <w:tc>
          <w:tcPr>
            <w:tcW w:w="1596" w:type="dxa"/>
          </w:tcPr>
          <w:p w:rsidR="00A17063" w:rsidRPr="009D6BA9" w:rsidRDefault="00A17063">
            <w:pPr>
              <w:rPr>
                <w:b/>
              </w:rPr>
            </w:pPr>
            <w:r w:rsidRPr="009D6BA9">
              <w:rPr>
                <w:b/>
              </w:rPr>
              <w:t>Work Hours a Week*</w:t>
            </w:r>
          </w:p>
        </w:tc>
        <w:tc>
          <w:tcPr>
            <w:tcW w:w="1596" w:type="dxa"/>
          </w:tcPr>
          <w:p w:rsidR="00A17063" w:rsidRPr="009D6BA9" w:rsidRDefault="00A17063">
            <w:pPr>
              <w:rPr>
                <w:b/>
              </w:rPr>
            </w:pPr>
            <w:r w:rsidRPr="009D6BA9">
              <w:rPr>
                <w:b/>
              </w:rPr>
              <w:t>Social Security</w:t>
            </w:r>
          </w:p>
        </w:tc>
        <w:tc>
          <w:tcPr>
            <w:tcW w:w="2634" w:type="dxa"/>
          </w:tcPr>
          <w:p w:rsidR="00A17063" w:rsidRPr="009D6BA9" w:rsidRDefault="00A17063">
            <w:pPr>
              <w:rPr>
                <w:b/>
              </w:rPr>
            </w:pPr>
            <w:r w:rsidRPr="009D6BA9">
              <w:rPr>
                <w:b/>
              </w:rPr>
              <w:t>Retirement: PSRS/PEERS</w:t>
            </w:r>
          </w:p>
        </w:tc>
      </w:tr>
      <w:tr w:rsidR="00A17063" w:rsidTr="00D57566">
        <w:tc>
          <w:tcPr>
            <w:tcW w:w="2268" w:type="dxa"/>
          </w:tcPr>
          <w:p w:rsidR="00A17063" w:rsidRDefault="00A17063">
            <w:r>
              <w:t>1</w:t>
            </w:r>
          </w:p>
        </w:tc>
        <w:tc>
          <w:tcPr>
            <w:tcW w:w="924" w:type="dxa"/>
          </w:tcPr>
          <w:p w:rsidR="00A17063" w:rsidRDefault="00A17063">
            <w:r>
              <w:t>1.87</w:t>
            </w:r>
          </w:p>
        </w:tc>
        <w:tc>
          <w:tcPr>
            <w:tcW w:w="1596" w:type="dxa"/>
          </w:tcPr>
          <w:p w:rsidR="00A17063" w:rsidRDefault="00A17063">
            <w:r>
              <w:t>1.87</w:t>
            </w:r>
          </w:p>
        </w:tc>
        <w:tc>
          <w:tcPr>
            <w:tcW w:w="1596" w:type="dxa"/>
          </w:tcPr>
          <w:p w:rsidR="00A17063" w:rsidRDefault="00A17063">
            <w:r>
              <w:t>YES</w:t>
            </w:r>
          </w:p>
        </w:tc>
        <w:tc>
          <w:tcPr>
            <w:tcW w:w="2634" w:type="dxa"/>
          </w:tcPr>
          <w:p w:rsidR="00A17063" w:rsidRDefault="00A17063">
            <w:r>
              <w:t>NO</w:t>
            </w:r>
          </w:p>
        </w:tc>
      </w:tr>
      <w:tr w:rsidR="00A17063" w:rsidTr="00D57566">
        <w:tc>
          <w:tcPr>
            <w:tcW w:w="2268" w:type="dxa"/>
          </w:tcPr>
          <w:p w:rsidR="00A17063" w:rsidRDefault="00A17063">
            <w:r>
              <w:t>3</w:t>
            </w:r>
          </w:p>
        </w:tc>
        <w:tc>
          <w:tcPr>
            <w:tcW w:w="924" w:type="dxa"/>
          </w:tcPr>
          <w:p w:rsidR="00A17063" w:rsidRDefault="00A17063">
            <w:r>
              <w:t>1.87</w:t>
            </w:r>
          </w:p>
        </w:tc>
        <w:tc>
          <w:tcPr>
            <w:tcW w:w="1596" w:type="dxa"/>
          </w:tcPr>
          <w:p w:rsidR="00A17063" w:rsidRDefault="00A17063">
            <w:r>
              <w:t>5.61</w:t>
            </w:r>
          </w:p>
        </w:tc>
        <w:tc>
          <w:tcPr>
            <w:tcW w:w="1596" w:type="dxa"/>
          </w:tcPr>
          <w:p w:rsidR="00A17063" w:rsidRDefault="00A17063">
            <w:r>
              <w:t>YES</w:t>
            </w:r>
          </w:p>
        </w:tc>
        <w:tc>
          <w:tcPr>
            <w:tcW w:w="2634" w:type="dxa"/>
          </w:tcPr>
          <w:p w:rsidR="00A17063" w:rsidRDefault="00A17063" w:rsidP="00F033A2">
            <w:r>
              <w:t>NO</w:t>
            </w:r>
          </w:p>
        </w:tc>
      </w:tr>
      <w:tr w:rsidR="00A17063" w:rsidTr="00D57566">
        <w:tc>
          <w:tcPr>
            <w:tcW w:w="2268" w:type="dxa"/>
          </w:tcPr>
          <w:p w:rsidR="00A17063" w:rsidRDefault="00A17063">
            <w:r>
              <w:t>6</w:t>
            </w:r>
          </w:p>
        </w:tc>
        <w:tc>
          <w:tcPr>
            <w:tcW w:w="924" w:type="dxa"/>
          </w:tcPr>
          <w:p w:rsidR="00A17063" w:rsidRDefault="00A17063" w:rsidP="00E44296">
            <w:r>
              <w:t>1.87</w:t>
            </w:r>
          </w:p>
        </w:tc>
        <w:tc>
          <w:tcPr>
            <w:tcW w:w="1596" w:type="dxa"/>
          </w:tcPr>
          <w:p w:rsidR="00A17063" w:rsidRDefault="00A17063" w:rsidP="00E53F04">
            <w:r>
              <w:t>11.22</w:t>
            </w:r>
          </w:p>
        </w:tc>
        <w:tc>
          <w:tcPr>
            <w:tcW w:w="1596" w:type="dxa"/>
          </w:tcPr>
          <w:p w:rsidR="00A17063" w:rsidRDefault="00A17063">
            <w:r w:rsidRPr="00067FD0">
              <w:t>YES</w:t>
            </w:r>
          </w:p>
        </w:tc>
        <w:tc>
          <w:tcPr>
            <w:tcW w:w="2634" w:type="dxa"/>
          </w:tcPr>
          <w:p w:rsidR="00A17063" w:rsidRDefault="00A17063" w:rsidP="00F033A2">
            <w:r>
              <w:t>NO</w:t>
            </w:r>
          </w:p>
        </w:tc>
      </w:tr>
      <w:tr w:rsidR="00A17063" w:rsidTr="00D57566">
        <w:tc>
          <w:tcPr>
            <w:tcW w:w="2268" w:type="dxa"/>
          </w:tcPr>
          <w:p w:rsidR="00A17063" w:rsidRDefault="00A17063">
            <w:r>
              <w:t>9</w:t>
            </w:r>
          </w:p>
        </w:tc>
        <w:tc>
          <w:tcPr>
            <w:tcW w:w="924" w:type="dxa"/>
          </w:tcPr>
          <w:p w:rsidR="00A17063" w:rsidRDefault="00A17063" w:rsidP="00D861CB">
            <w:r>
              <w:t>1.87</w:t>
            </w:r>
          </w:p>
        </w:tc>
        <w:tc>
          <w:tcPr>
            <w:tcW w:w="1596" w:type="dxa"/>
          </w:tcPr>
          <w:p w:rsidR="00A17063" w:rsidRDefault="00A17063" w:rsidP="00E53F04">
            <w:r>
              <w:t>16.83</w:t>
            </w:r>
          </w:p>
        </w:tc>
        <w:tc>
          <w:tcPr>
            <w:tcW w:w="1596" w:type="dxa"/>
          </w:tcPr>
          <w:p w:rsidR="00A17063" w:rsidRDefault="00A17063">
            <w:r w:rsidRPr="00067FD0">
              <w:t>YES</w:t>
            </w:r>
          </w:p>
        </w:tc>
        <w:tc>
          <w:tcPr>
            <w:tcW w:w="2634" w:type="dxa"/>
          </w:tcPr>
          <w:p w:rsidR="00A17063" w:rsidRDefault="00A17063" w:rsidP="00F033A2">
            <w:r>
              <w:t>NO</w:t>
            </w:r>
          </w:p>
        </w:tc>
      </w:tr>
      <w:tr w:rsidR="00A17063" w:rsidTr="00D57566">
        <w:tc>
          <w:tcPr>
            <w:tcW w:w="2268" w:type="dxa"/>
          </w:tcPr>
          <w:p w:rsidR="00A17063" w:rsidRDefault="00A17063">
            <w:r>
              <w:t>12</w:t>
            </w:r>
          </w:p>
        </w:tc>
        <w:tc>
          <w:tcPr>
            <w:tcW w:w="924" w:type="dxa"/>
          </w:tcPr>
          <w:p w:rsidR="00A17063" w:rsidRDefault="00A17063" w:rsidP="00D861CB">
            <w:r>
              <w:t>1.87</w:t>
            </w:r>
          </w:p>
        </w:tc>
        <w:tc>
          <w:tcPr>
            <w:tcW w:w="1596" w:type="dxa"/>
          </w:tcPr>
          <w:p w:rsidR="00A17063" w:rsidRDefault="00A17063">
            <w:r>
              <w:t>22.44</w:t>
            </w:r>
          </w:p>
        </w:tc>
        <w:tc>
          <w:tcPr>
            <w:tcW w:w="1596" w:type="dxa"/>
          </w:tcPr>
          <w:p w:rsidR="00A17063" w:rsidRDefault="009B688D">
            <w:r w:rsidRPr="00067FD0">
              <w:t>YES</w:t>
            </w:r>
            <w:r>
              <w:t>/NO PSRS</w:t>
            </w:r>
          </w:p>
        </w:tc>
        <w:tc>
          <w:tcPr>
            <w:tcW w:w="2634" w:type="dxa"/>
          </w:tcPr>
          <w:p w:rsidR="00A17063" w:rsidRDefault="00A17063">
            <w:r>
              <w:t>PEERS membership if no DESE Certificate or PSRS membership</w:t>
            </w:r>
          </w:p>
        </w:tc>
      </w:tr>
      <w:tr w:rsidR="00A17063" w:rsidTr="00D57566">
        <w:tc>
          <w:tcPr>
            <w:tcW w:w="2268" w:type="dxa"/>
          </w:tcPr>
          <w:p w:rsidR="00A17063" w:rsidRPr="009D6BA9" w:rsidRDefault="00A17063" w:rsidP="00F932A5">
            <w:pPr>
              <w:rPr>
                <w:b/>
              </w:rPr>
            </w:pPr>
            <w:r w:rsidRPr="009D6BA9">
              <w:rPr>
                <w:b/>
              </w:rPr>
              <w:t>Lab, Studio Art, Music Theory</w:t>
            </w:r>
            <w:r w:rsidR="00D861CB">
              <w:rPr>
                <w:b/>
              </w:rPr>
              <w:t>, Physical Education</w:t>
            </w:r>
            <w:r w:rsidRPr="009D6BA9">
              <w:rPr>
                <w:b/>
              </w:rPr>
              <w:t xml:space="preserve"> Credit Hour(s)</w:t>
            </w:r>
          </w:p>
        </w:tc>
        <w:tc>
          <w:tcPr>
            <w:tcW w:w="924" w:type="dxa"/>
          </w:tcPr>
          <w:p w:rsidR="00A17063" w:rsidRPr="009D6BA9" w:rsidRDefault="00A17063" w:rsidP="00F932A5">
            <w:pPr>
              <w:rPr>
                <w:b/>
              </w:rPr>
            </w:pPr>
            <w:r w:rsidRPr="009D6BA9">
              <w:rPr>
                <w:b/>
              </w:rPr>
              <w:t>Factor</w:t>
            </w:r>
          </w:p>
        </w:tc>
        <w:tc>
          <w:tcPr>
            <w:tcW w:w="1596" w:type="dxa"/>
          </w:tcPr>
          <w:p w:rsidR="00A17063" w:rsidRPr="009D6BA9" w:rsidRDefault="00A17063" w:rsidP="00F932A5">
            <w:pPr>
              <w:rPr>
                <w:b/>
              </w:rPr>
            </w:pPr>
            <w:r w:rsidRPr="009D6BA9">
              <w:rPr>
                <w:b/>
              </w:rPr>
              <w:t>Work Hours a Week*</w:t>
            </w:r>
          </w:p>
        </w:tc>
        <w:tc>
          <w:tcPr>
            <w:tcW w:w="1596" w:type="dxa"/>
          </w:tcPr>
          <w:p w:rsidR="00A17063" w:rsidRPr="009D6BA9" w:rsidRDefault="00A17063" w:rsidP="00F932A5">
            <w:pPr>
              <w:rPr>
                <w:b/>
              </w:rPr>
            </w:pPr>
            <w:r w:rsidRPr="009D6BA9">
              <w:rPr>
                <w:b/>
              </w:rPr>
              <w:t>Social Security</w:t>
            </w:r>
          </w:p>
        </w:tc>
        <w:tc>
          <w:tcPr>
            <w:tcW w:w="2634" w:type="dxa"/>
          </w:tcPr>
          <w:p w:rsidR="00A17063" w:rsidRPr="009D6BA9" w:rsidRDefault="00A17063" w:rsidP="00F932A5">
            <w:pPr>
              <w:rPr>
                <w:b/>
              </w:rPr>
            </w:pPr>
            <w:r w:rsidRPr="009D6BA9">
              <w:rPr>
                <w:b/>
              </w:rPr>
              <w:t>Retirement: PSRS/PEERS</w:t>
            </w:r>
          </w:p>
        </w:tc>
      </w:tr>
      <w:tr w:rsidR="00A17063" w:rsidTr="00D57566">
        <w:tc>
          <w:tcPr>
            <w:tcW w:w="2268" w:type="dxa"/>
          </w:tcPr>
          <w:p w:rsidR="00A17063" w:rsidRDefault="00A17063" w:rsidP="00F932A5">
            <w:r>
              <w:t>1</w:t>
            </w:r>
          </w:p>
        </w:tc>
        <w:tc>
          <w:tcPr>
            <w:tcW w:w="924" w:type="dxa"/>
          </w:tcPr>
          <w:p w:rsidR="00A17063" w:rsidRDefault="00A17063" w:rsidP="00F932A5">
            <w:r>
              <w:t>2.0</w:t>
            </w:r>
          </w:p>
        </w:tc>
        <w:tc>
          <w:tcPr>
            <w:tcW w:w="1596" w:type="dxa"/>
          </w:tcPr>
          <w:p w:rsidR="00A17063" w:rsidRDefault="00A17063" w:rsidP="00A17063">
            <w:r>
              <w:t>2</w:t>
            </w:r>
          </w:p>
        </w:tc>
        <w:tc>
          <w:tcPr>
            <w:tcW w:w="1596" w:type="dxa"/>
          </w:tcPr>
          <w:p w:rsidR="00A17063" w:rsidRDefault="00A17063" w:rsidP="00F932A5">
            <w:r>
              <w:t>YES</w:t>
            </w:r>
          </w:p>
        </w:tc>
        <w:tc>
          <w:tcPr>
            <w:tcW w:w="2634" w:type="dxa"/>
          </w:tcPr>
          <w:p w:rsidR="00A17063" w:rsidRDefault="00A17063" w:rsidP="00F932A5">
            <w:r>
              <w:t>NO</w:t>
            </w:r>
          </w:p>
        </w:tc>
      </w:tr>
      <w:tr w:rsidR="00A17063" w:rsidTr="00D57566">
        <w:tc>
          <w:tcPr>
            <w:tcW w:w="2268" w:type="dxa"/>
          </w:tcPr>
          <w:p w:rsidR="00A17063" w:rsidRDefault="00A17063" w:rsidP="00F932A5">
            <w:r>
              <w:t>3</w:t>
            </w:r>
          </w:p>
        </w:tc>
        <w:tc>
          <w:tcPr>
            <w:tcW w:w="924" w:type="dxa"/>
          </w:tcPr>
          <w:p w:rsidR="00A17063" w:rsidRDefault="00A17063">
            <w:r w:rsidRPr="00C8760A">
              <w:t>2.0</w:t>
            </w:r>
          </w:p>
        </w:tc>
        <w:tc>
          <w:tcPr>
            <w:tcW w:w="1596" w:type="dxa"/>
          </w:tcPr>
          <w:p w:rsidR="00A17063" w:rsidRDefault="00A17063" w:rsidP="00F932A5">
            <w:r>
              <w:t>6</w:t>
            </w:r>
          </w:p>
        </w:tc>
        <w:tc>
          <w:tcPr>
            <w:tcW w:w="1596" w:type="dxa"/>
          </w:tcPr>
          <w:p w:rsidR="00A17063" w:rsidRDefault="00A17063" w:rsidP="00F932A5">
            <w:r>
              <w:t>YES</w:t>
            </w:r>
          </w:p>
        </w:tc>
        <w:tc>
          <w:tcPr>
            <w:tcW w:w="2634" w:type="dxa"/>
          </w:tcPr>
          <w:p w:rsidR="00A17063" w:rsidRDefault="00A17063" w:rsidP="00F932A5">
            <w:r>
              <w:t>NO</w:t>
            </w:r>
          </w:p>
        </w:tc>
      </w:tr>
      <w:tr w:rsidR="00A17063" w:rsidTr="00D57566">
        <w:tc>
          <w:tcPr>
            <w:tcW w:w="2268" w:type="dxa"/>
          </w:tcPr>
          <w:p w:rsidR="00A17063" w:rsidRDefault="00A17063" w:rsidP="00F932A5">
            <w:r>
              <w:t>6</w:t>
            </w:r>
          </w:p>
        </w:tc>
        <w:tc>
          <w:tcPr>
            <w:tcW w:w="924" w:type="dxa"/>
          </w:tcPr>
          <w:p w:rsidR="00A17063" w:rsidRDefault="00A17063">
            <w:r w:rsidRPr="00C8760A">
              <w:t>2.0</w:t>
            </w:r>
          </w:p>
        </w:tc>
        <w:tc>
          <w:tcPr>
            <w:tcW w:w="1596" w:type="dxa"/>
          </w:tcPr>
          <w:p w:rsidR="00A17063" w:rsidRDefault="00A17063" w:rsidP="00A17063">
            <w:r>
              <w:t>12</w:t>
            </w:r>
          </w:p>
        </w:tc>
        <w:tc>
          <w:tcPr>
            <w:tcW w:w="1596" w:type="dxa"/>
          </w:tcPr>
          <w:p w:rsidR="00A17063" w:rsidRDefault="00A17063" w:rsidP="00F932A5">
            <w:r w:rsidRPr="00067FD0">
              <w:t>YES</w:t>
            </w:r>
          </w:p>
        </w:tc>
        <w:tc>
          <w:tcPr>
            <w:tcW w:w="2634" w:type="dxa"/>
          </w:tcPr>
          <w:p w:rsidR="00A17063" w:rsidRDefault="00A17063" w:rsidP="00F932A5">
            <w:r>
              <w:t>NO</w:t>
            </w:r>
          </w:p>
        </w:tc>
      </w:tr>
      <w:tr w:rsidR="00A17063" w:rsidTr="00D57566">
        <w:tc>
          <w:tcPr>
            <w:tcW w:w="2268" w:type="dxa"/>
          </w:tcPr>
          <w:p w:rsidR="00A17063" w:rsidRDefault="00A17063" w:rsidP="00F932A5">
            <w:r>
              <w:t>9</w:t>
            </w:r>
          </w:p>
        </w:tc>
        <w:tc>
          <w:tcPr>
            <w:tcW w:w="924" w:type="dxa"/>
          </w:tcPr>
          <w:p w:rsidR="00A17063" w:rsidRDefault="00A17063">
            <w:r w:rsidRPr="00C8760A">
              <w:t>2.0</w:t>
            </w:r>
          </w:p>
        </w:tc>
        <w:tc>
          <w:tcPr>
            <w:tcW w:w="1596" w:type="dxa"/>
          </w:tcPr>
          <w:p w:rsidR="00A17063" w:rsidRDefault="00A17063" w:rsidP="00F932A5">
            <w:r>
              <w:t>18</w:t>
            </w:r>
          </w:p>
        </w:tc>
        <w:tc>
          <w:tcPr>
            <w:tcW w:w="1596" w:type="dxa"/>
          </w:tcPr>
          <w:p w:rsidR="00A17063" w:rsidRDefault="00A17063" w:rsidP="00F932A5">
            <w:r w:rsidRPr="00067FD0">
              <w:t>YES</w:t>
            </w:r>
          </w:p>
        </w:tc>
        <w:tc>
          <w:tcPr>
            <w:tcW w:w="2634" w:type="dxa"/>
          </w:tcPr>
          <w:p w:rsidR="00A17063" w:rsidRDefault="00A17063" w:rsidP="00F932A5">
            <w:r>
              <w:t>PSRS membership</w:t>
            </w:r>
          </w:p>
        </w:tc>
      </w:tr>
      <w:tr w:rsidR="00A17063" w:rsidTr="00D57566">
        <w:tc>
          <w:tcPr>
            <w:tcW w:w="2268" w:type="dxa"/>
          </w:tcPr>
          <w:p w:rsidR="00A17063" w:rsidRDefault="00A17063" w:rsidP="00F932A5">
            <w:r>
              <w:t>12</w:t>
            </w:r>
          </w:p>
        </w:tc>
        <w:tc>
          <w:tcPr>
            <w:tcW w:w="924" w:type="dxa"/>
          </w:tcPr>
          <w:p w:rsidR="00A17063" w:rsidRDefault="00A17063">
            <w:r w:rsidRPr="00C8760A">
              <w:t>2.0</w:t>
            </w:r>
          </w:p>
        </w:tc>
        <w:tc>
          <w:tcPr>
            <w:tcW w:w="1596" w:type="dxa"/>
          </w:tcPr>
          <w:p w:rsidR="00A17063" w:rsidRDefault="00A17063" w:rsidP="00F932A5">
            <w:r>
              <w:t>24</w:t>
            </w:r>
          </w:p>
        </w:tc>
        <w:tc>
          <w:tcPr>
            <w:tcW w:w="1596" w:type="dxa"/>
          </w:tcPr>
          <w:p w:rsidR="00A17063" w:rsidRDefault="00A17063" w:rsidP="00F932A5">
            <w:r w:rsidRPr="00067FD0">
              <w:t>YES</w:t>
            </w:r>
            <w:r w:rsidR="009B688D">
              <w:t>/NO PSRS</w:t>
            </w:r>
          </w:p>
        </w:tc>
        <w:tc>
          <w:tcPr>
            <w:tcW w:w="2634" w:type="dxa"/>
          </w:tcPr>
          <w:p w:rsidR="00A17063" w:rsidRDefault="00A17063" w:rsidP="00F932A5">
            <w:r>
              <w:t>PEERS membership if no DESE Certificate or PSRS membership</w:t>
            </w:r>
          </w:p>
        </w:tc>
      </w:tr>
      <w:tr w:rsidR="00D861CB" w:rsidTr="00D57566">
        <w:tc>
          <w:tcPr>
            <w:tcW w:w="2268" w:type="dxa"/>
          </w:tcPr>
          <w:p w:rsidR="00D861CB" w:rsidRPr="009D6BA9" w:rsidRDefault="00D861CB" w:rsidP="00D861CB">
            <w:pPr>
              <w:rPr>
                <w:b/>
              </w:rPr>
            </w:pPr>
            <w:r>
              <w:rPr>
                <w:b/>
              </w:rPr>
              <w:t>Internship/Clinical Credit Hour(s)</w:t>
            </w:r>
          </w:p>
        </w:tc>
        <w:tc>
          <w:tcPr>
            <w:tcW w:w="924" w:type="dxa"/>
          </w:tcPr>
          <w:p w:rsidR="00D861CB" w:rsidRPr="009D6BA9" w:rsidRDefault="00D861CB" w:rsidP="00F932A5">
            <w:pPr>
              <w:rPr>
                <w:b/>
              </w:rPr>
            </w:pPr>
            <w:r w:rsidRPr="009D6BA9">
              <w:rPr>
                <w:b/>
              </w:rPr>
              <w:t>Factor</w:t>
            </w:r>
          </w:p>
        </w:tc>
        <w:tc>
          <w:tcPr>
            <w:tcW w:w="1596" w:type="dxa"/>
          </w:tcPr>
          <w:p w:rsidR="00D861CB" w:rsidRPr="009D6BA9" w:rsidRDefault="00D861CB" w:rsidP="00F932A5">
            <w:pPr>
              <w:rPr>
                <w:b/>
              </w:rPr>
            </w:pPr>
            <w:r w:rsidRPr="009D6BA9">
              <w:rPr>
                <w:b/>
              </w:rPr>
              <w:t>Work Hours a Week*</w:t>
            </w:r>
          </w:p>
        </w:tc>
        <w:tc>
          <w:tcPr>
            <w:tcW w:w="1596" w:type="dxa"/>
          </w:tcPr>
          <w:p w:rsidR="00D861CB" w:rsidRPr="009D6BA9" w:rsidRDefault="00D861CB" w:rsidP="00F932A5">
            <w:pPr>
              <w:rPr>
                <w:b/>
              </w:rPr>
            </w:pPr>
            <w:r w:rsidRPr="009D6BA9">
              <w:rPr>
                <w:b/>
              </w:rPr>
              <w:t>Social Security</w:t>
            </w:r>
          </w:p>
        </w:tc>
        <w:tc>
          <w:tcPr>
            <w:tcW w:w="2634" w:type="dxa"/>
          </w:tcPr>
          <w:p w:rsidR="00D861CB" w:rsidRPr="009D6BA9" w:rsidRDefault="00D861CB" w:rsidP="00F932A5">
            <w:pPr>
              <w:rPr>
                <w:b/>
              </w:rPr>
            </w:pPr>
            <w:r w:rsidRPr="009D6BA9">
              <w:rPr>
                <w:b/>
              </w:rPr>
              <w:t>Retirement: PSRS/PEERS</w:t>
            </w:r>
          </w:p>
        </w:tc>
      </w:tr>
      <w:tr w:rsidR="00D861CB" w:rsidTr="00D57566">
        <w:tc>
          <w:tcPr>
            <w:tcW w:w="2268" w:type="dxa"/>
          </w:tcPr>
          <w:p w:rsidR="00D861CB" w:rsidRDefault="00D861CB" w:rsidP="00F932A5">
            <w:r>
              <w:t>1</w:t>
            </w:r>
          </w:p>
        </w:tc>
        <w:tc>
          <w:tcPr>
            <w:tcW w:w="924" w:type="dxa"/>
          </w:tcPr>
          <w:p w:rsidR="00D861CB" w:rsidRDefault="00D861CB" w:rsidP="00D861CB">
            <w:r>
              <w:t>1.66</w:t>
            </w:r>
          </w:p>
        </w:tc>
        <w:tc>
          <w:tcPr>
            <w:tcW w:w="1596" w:type="dxa"/>
          </w:tcPr>
          <w:p w:rsidR="00D861CB" w:rsidRDefault="00D861CB" w:rsidP="00D861CB">
            <w:r>
              <w:t>1.66</w:t>
            </w:r>
          </w:p>
        </w:tc>
        <w:tc>
          <w:tcPr>
            <w:tcW w:w="1596" w:type="dxa"/>
          </w:tcPr>
          <w:p w:rsidR="00D861CB" w:rsidRDefault="00D861CB" w:rsidP="00F932A5">
            <w:r>
              <w:t>YES</w:t>
            </w:r>
          </w:p>
        </w:tc>
        <w:tc>
          <w:tcPr>
            <w:tcW w:w="2634" w:type="dxa"/>
          </w:tcPr>
          <w:p w:rsidR="00D861CB" w:rsidRDefault="00D861CB" w:rsidP="00F932A5">
            <w:r>
              <w:t>NO</w:t>
            </w:r>
          </w:p>
        </w:tc>
      </w:tr>
      <w:tr w:rsidR="00D861CB" w:rsidTr="00D57566">
        <w:tc>
          <w:tcPr>
            <w:tcW w:w="2268" w:type="dxa"/>
          </w:tcPr>
          <w:p w:rsidR="00D861CB" w:rsidRDefault="00D861CB" w:rsidP="00F932A5">
            <w:r>
              <w:t>3</w:t>
            </w:r>
          </w:p>
        </w:tc>
        <w:tc>
          <w:tcPr>
            <w:tcW w:w="924" w:type="dxa"/>
          </w:tcPr>
          <w:p w:rsidR="00D861CB" w:rsidRDefault="00D861CB" w:rsidP="00F932A5">
            <w:r>
              <w:t>1.66</w:t>
            </w:r>
          </w:p>
        </w:tc>
        <w:tc>
          <w:tcPr>
            <w:tcW w:w="1596" w:type="dxa"/>
          </w:tcPr>
          <w:p w:rsidR="00D861CB" w:rsidRDefault="00D861CB" w:rsidP="00F932A5">
            <w:r>
              <w:t>4.98</w:t>
            </w:r>
          </w:p>
        </w:tc>
        <w:tc>
          <w:tcPr>
            <w:tcW w:w="1596" w:type="dxa"/>
          </w:tcPr>
          <w:p w:rsidR="00D861CB" w:rsidRDefault="00D861CB" w:rsidP="00F932A5">
            <w:r>
              <w:t>YES</w:t>
            </w:r>
          </w:p>
        </w:tc>
        <w:tc>
          <w:tcPr>
            <w:tcW w:w="2634" w:type="dxa"/>
          </w:tcPr>
          <w:p w:rsidR="00D861CB" w:rsidRDefault="00D861CB" w:rsidP="00F932A5">
            <w:r>
              <w:t>NO</w:t>
            </w:r>
          </w:p>
        </w:tc>
      </w:tr>
      <w:tr w:rsidR="00D861CB" w:rsidTr="00D57566">
        <w:tc>
          <w:tcPr>
            <w:tcW w:w="2268" w:type="dxa"/>
          </w:tcPr>
          <w:p w:rsidR="00D861CB" w:rsidRDefault="00D861CB" w:rsidP="00F932A5">
            <w:r>
              <w:t>6</w:t>
            </w:r>
          </w:p>
        </w:tc>
        <w:tc>
          <w:tcPr>
            <w:tcW w:w="924" w:type="dxa"/>
          </w:tcPr>
          <w:p w:rsidR="00D861CB" w:rsidRDefault="00D861CB" w:rsidP="00F932A5">
            <w:r>
              <w:t>1.66</w:t>
            </w:r>
          </w:p>
        </w:tc>
        <w:tc>
          <w:tcPr>
            <w:tcW w:w="1596" w:type="dxa"/>
          </w:tcPr>
          <w:p w:rsidR="00D861CB" w:rsidRDefault="00D861CB" w:rsidP="00F932A5">
            <w:r>
              <w:t>9.96</w:t>
            </w:r>
          </w:p>
        </w:tc>
        <w:tc>
          <w:tcPr>
            <w:tcW w:w="1596" w:type="dxa"/>
          </w:tcPr>
          <w:p w:rsidR="00D861CB" w:rsidRDefault="00D861CB" w:rsidP="00F932A5">
            <w:r w:rsidRPr="00067FD0">
              <w:t>YES</w:t>
            </w:r>
          </w:p>
        </w:tc>
        <w:tc>
          <w:tcPr>
            <w:tcW w:w="2634" w:type="dxa"/>
          </w:tcPr>
          <w:p w:rsidR="00D861CB" w:rsidRDefault="00D861CB" w:rsidP="00F932A5">
            <w:r>
              <w:t>NO</w:t>
            </w:r>
          </w:p>
        </w:tc>
      </w:tr>
      <w:tr w:rsidR="00D861CB" w:rsidTr="00D57566">
        <w:tc>
          <w:tcPr>
            <w:tcW w:w="2268" w:type="dxa"/>
          </w:tcPr>
          <w:p w:rsidR="00D861CB" w:rsidRDefault="00D861CB" w:rsidP="00F932A5">
            <w:r>
              <w:t>9</w:t>
            </w:r>
          </w:p>
        </w:tc>
        <w:tc>
          <w:tcPr>
            <w:tcW w:w="924" w:type="dxa"/>
          </w:tcPr>
          <w:p w:rsidR="00D861CB" w:rsidRDefault="00D861CB" w:rsidP="00F932A5">
            <w:r>
              <w:t>1.66</w:t>
            </w:r>
          </w:p>
        </w:tc>
        <w:tc>
          <w:tcPr>
            <w:tcW w:w="1596" w:type="dxa"/>
          </w:tcPr>
          <w:p w:rsidR="00D861CB" w:rsidRDefault="00D861CB" w:rsidP="00F932A5">
            <w:r>
              <w:t>14.94</w:t>
            </w:r>
          </w:p>
        </w:tc>
        <w:tc>
          <w:tcPr>
            <w:tcW w:w="1596" w:type="dxa"/>
          </w:tcPr>
          <w:p w:rsidR="00D861CB" w:rsidRDefault="00D861CB" w:rsidP="00F932A5">
            <w:r w:rsidRPr="00067FD0">
              <w:t>YES</w:t>
            </w:r>
          </w:p>
        </w:tc>
        <w:tc>
          <w:tcPr>
            <w:tcW w:w="2634" w:type="dxa"/>
          </w:tcPr>
          <w:p w:rsidR="00D861CB" w:rsidRDefault="00D861CB" w:rsidP="00F932A5">
            <w:r>
              <w:t>NO</w:t>
            </w:r>
          </w:p>
        </w:tc>
      </w:tr>
      <w:tr w:rsidR="00D861CB" w:rsidTr="00D57566">
        <w:tc>
          <w:tcPr>
            <w:tcW w:w="2268" w:type="dxa"/>
          </w:tcPr>
          <w:p w:rsidR="00D861CB" w:rsidRDefault="00D861CB" w:rsidP="00F932A5">
            <w:r>
              <w:t>12</w:t>
            </w:r>
          </w:p>
        </w:tc>
        <w:tc>
          <w:tcPr>
            <w:tcW w:w="924" w:type="dxa"/>
          </w:tcPr>
          <w:p w:rsidR="00D861CB" w:rsidRDefault="00D861CB" w:rsidP="00F932A5">
            <w:r>
              <w:t>1.66</w:t>
            </w:r>
          </w:p>
        </w:tc>
        <w:tc>
          <w:tcPr>
            <w:tcW w:w="1596" w:type="dxa"/>
          </w:tcPr>
          <w:p w:rsidR="00D861CB" w:rsidRDefault="00D57566" w:rsidP="00F932A5">
            <w:r>
              <w:t>19.22</w:t>
            </w:r>
          </w:p>
        </w:tc>
        <w:tc>
          <w:tcPr>
            <w:tcW w:w="1596" w:type="dxa"/>
          </w:tcPr>
          <w:p w:rsidR="00D861CB" w:rsidRDefault="00D861CB" w:rsidP="00F932A5">
            <w:r w:rsidRPr="00067FD0">
              <w:t>YES</w:t>
            </w:r>
            <w:r w:rsidR="009B688D">
              <w:t>/NO PSRS</w:t>
            </w:r>
          </w:p>
        </w:tc>
        <w:tc>
          <w:tcPr>
            <w:tcW w:w="2634" w:type="dxa"/>
          </w:tcPr>
          <w:p w:rsidR="00D861CB" w:rsidRDefault="00D861CB" w:rsidP="00F932A5">
            <w:r>
              <w:t>PSRS membership</w:t>
            </w:r>
          </w:p>
        </w:tc>
      </w:tr>
    </w:tbl>
    <w:p w:rsidR="000725DA" w:rsidRDefault="00D57566" w:rsidP="00D861CB">
      <w:r>
        <w:t>*</w:t>
      </w:r>
      <w:r w:rsidR="00E53F04">
        <w:t>Summer course h</w:t>
      </w:r>
      <w:r w:rsidR="000725DA">
        <w:t>ours worked would be double since the class is taught in 8 weeks versus 16 weeks.</w:t>
      </w:r>
    </w:p>
    <w:p w:rsidR="000725DA" w:rsidRDefault="00E53F04" w:rsidP="000725DA">
      <w:r>
        <w:t>Example: o</w:t>
      </w:r>
      <w:r w:rsidR="000725DA">
        <w:t>ne (1) credit hour lecture class of eight weeks is equal to 1.87 x 2 for an estimated total of 3.7</w:t>
      </w:r>
      <w:r>
        <w:t>4</w:t>
      </w:r>
      <w:r w:rsidR="000725DA">
        <w:t xml:space="preserve"> hours of work a week</w:t>
      </w:r>
      <w:r>
        <w:t>.</w:t>
      </w:r>
    </w:p>
    <w:sectPr w:rsidR="000725DA" w:rsidSect="00995CEA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CEA" w:rsidRDefault="00995CEA" w:rsidP="00995CEA">
      <w:pPr>
        <w:spacing w:before="0" w:after="0"/>
      </w:pPr>
      <w:r>
        <w:separator/>
      </w:r>
    </w:p>
  </w:endnote>
  <w:endnote w:type="continuationSeparator" w:id="0">
    <w:p w:rsidR="00995CEA" w:rsidRDefault="00995CEA" w:rsidP="00995CE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CEA" w:rsidRPr="00995CEA" w:rsidRDefault="00995CEA">
    <w:pPr>
      <w:pStyle w:val="Footer"/>
      <w:rPr>
        <w:sz w:val="14"/>
      </w:rPr>
    </w:pPr>
    <w:r w:rsidRPr="00995CEA">
      <w:rPr>
        <w:sz w:val="14"/>
      </w:rPr>
      <w:t>Adopted July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CEA" w:rsidRDefault="00995CEA" w:rsidP="00995CEA">
      <w:pPr>
        <w:spacing w:before="0" w:after="0"/>
      </w:pPr>
      <w:r>
        <w:separator/>
      </w:r>
    </w:p>
  </w:footnote>
  <w:footnote w:type="continuationSeparator" w:id="0">
    <w:p w:rsidR="00995CEA" w:rsidRDefault="00995CEA" w:rsidP="00995CE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0182F"/>
    <w:multiLevelType w:val="hybridMultilevel"/>
    <w:tmpl w:val="49A48AA6"/>
    <w:lvl w:ilvl="0" w:tplc="0B54DB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D5C07"/>
    <w:multiLevelType w:val="hybridMultilevel"/>
    <w:tmpl w:val="57F4A4E4"/>
    <w:lvl w:ilvl="0" w:tplc="B2BA20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A0E50"/>
    <w:multiLevelType w:val="hybridMultilevel"/>
    <w:tmpl w:val="97B8E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79"/>
    <w:rsid w:val="000205B6"/>
    <w:rsid w:val="00034FEB"/>
    <w:rsid w:val="000725DA"/>
    <w:rsid w:val="00097D42"/>
    <w:rsid w:val="000D2D70"/>
    <w:rsid w:val="000F4BF4"/>
    <w:rsid w:val="001241C3"/>
    <w:rsid w:val="00146619"/>
    <w:rsid w:val="00151AA2"/>
    <w:rsid w:val="00171B20"/>
    <w:rsid w:val="001A03E9"/>
    <w:rsid w:val="001C1B10"/>
    <w:rsid w:val="001C3D9B"/>
    <w:rsid w:val="00205FAA"/>
    <w:rsid w:val="00210C44"/>
    <w:rsid w:val="00224C73"/>
    <w:rsid w:val="00242D9C"/>
    <w:rsid w:val="002C3501"/>
    <w:rsid w:val="0030414E"/>
    <w:rsid w:val="0032415F"/>
    <w:rsid w:val="003A03EB"/>
    <w:rsid w:val="003A1DE6"/>
    <w:rsid w:val="00407779"/>
    <w:rsid w:val="00435C2D"/>
    <w:rsid w:val="00463A68"/>
    <w:rsid w:val="00463E7F"/>
    <w:rsid w:val="004764E5"/>
    <w:rsid w:val="00497BE4"/>
    <w:rsid w:val="004C543A"/>
    <w:rsid w:val="004D131D"/>
    <w:rsid w:val="00523896"/>
    <w:rsid w:val="0057583C"/>
    <w:rsid w:val="00580B4B"/>
    <w:rsid w:val="00587C5C"/>
    <w:rsid w:val="005A1FD4"/>
    <w:rsid w:val="005A2C16"/>
    <w:rsid w:val="005B4953"/>
    <w:rsid w:val="005E353F"/>
    <w:rsid w:val="005E6B37"/>
    <w:rsid w:val="006039CE"/>
    <w:rsid w:val="006543D7"/>
    <w:rsid w:val="00677116"/>
    <w:rsid w:val="00717EEC"/>
    <w:rsid w:val="00726D64"/>
    <w:rsid w:val="007404AF"/>
    <w:rsid w:val="007B1156"/>
    <w:rsid w:val="007D5049"/>
    <w:rsid w:val="007E0BB1"/>
    <w:rsid w:val="007F1310"/>
    <w:rsid w:val="008034B3"/>
    <w:rsid w:val="00803DB6"/>
    <w:rsid w:val="00841198"/>
    <w:rsid w:val="008457A7"/>
    <w:rsid w:val="008D6748"/>
    <w:rsid w:val="00914DEB"/>
    <w:rsid w:val="009326DB"/>
    <w:rsid w:val="00993916"/>
    <w:rsid w:val="00995CEA"/>
    <w:rsid w:val="009B688D"/>
    <w:rsid w:val="009D6BA9"/>
    <w:rsid w:val="009E061E"/>
    <w:rsid w:val="009E7626"/>
    <w:rsid w:val="00A13D65"/>
    <w:rsid w:val="00A17063"/>
    <w:rsid w:val="00A23369"/>
    <w:rsid w:val="00A3403C"/>
    <w:rsid w:val="00A40E3A"/>
    <w:rsid w:val="00A952DF"/>
    <w:rsid w:val="00AB747D"/>
    <w:rsid w:val="00AD674E"/>
    <w:rsid w:val="00B0299A"/>
    <w:rsid w:val="00B0795E"/>
    <w:rsid w:val="00C17FFE"/>
    <w:rsid w:val="00C85B09"/>
    <w:rsid w:val="00D116B5"/>
    <w:rsid w:val="00D20219"/>
    <w:rsid w:val="00D463DA"/>
    <w:rsid w:val="00D57566"/>
    <w:rsid w:val="00D752C2"/>
    <w:rsid w:val="00D75F05"/>
    <w:rsid w:val="00D8403C"/>
    <w:rsid w:val="00D861CB"/>
    <w:rsid w:val="00E44296"/>
    <w:rsid w:val="00E46206"/>
    <w:rsid w:val="00E53F04"/>
    <w:rsid w:val="00E55912"/>
    <w:rsid w:val="00E87568"/>
    <w:rsid w:val="00E956CE"/>
    <w:rsid w:val="00FA7C10"/>
    <w:rsid w:val="00FD1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F638F9-739C-4CB6-BCC8-C4C9E4C2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47D"/>
  </w:style>
  <w:style w:type="paragraph" w:styleId="Heading1">
    <w:name w:val="heading 1"/>
    <w:basedOn w:val="Normal"/>
    <w:next w:val="Normal"/>
    <w:link w:val="Heading1Char"/>
    <w:uiPriority w:val="9"/>
    <w:qFormat/>
    <w:rsid w:val="00AB7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74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B74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747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7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B74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B74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B747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AB747D"/>
    <w:pPr>
      <w:spacing w:after="0"/>
    </w:pPr>
  </w:style>
  <w:style w:type="paragraph" w:styleId="ListParagraph">
    <w:name w:val="List Paragraph"/>
    <w:basedOn w:val="Normal"/>
    <w:uiPriority w:val="34"/>
    <w:qFormat/>
    <w:rsid w:val="009E7626"/>
    <w:pPr>
      <w:ind w:left="720"/>
      <w:contextualSpacing/>
    </w:pPr>
  </w:style>
  <w:style w:type="table" w:styleId="TableGrid">
    <w:name w:val="Table Grid"/>
    <w:basedOn w:val="TableNormal"/>
    <w:uiPriority w:val="59"/>
    <w:rsid w:val="0040777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C543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4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CEA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5CEA"/>
  </w:style>
  <w:style w:type="paragraph" w:styleId="Footer">
    <w:name w:val="footer"/>
    <w:basedOn w:val="Normal"/>
    <w:link w:val="FooterChar"/>
    <w:uiPriority w:val="99"/>
    <w:unhideWhenUsed/>
    <w:rsid w:val="00995CEA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5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0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112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88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6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7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ECC USER</Company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ECC USER</dc:creator>
  <cp:lastModifiedBy>Kimberly Aguilar</cp:lastModifiedBy>
  <cp:revision>3</cp:revision>
  <cp:lastPrinted>2014-02-26T18:30:00Z</cp:lastPrinted>
  <dcterms:created xsi:type="dcterms:W3CDTF">2017-03-31T15:26:00Z</dcterms:created>
  <dcterms:modified xsi:type="dcterms:W3CDTF">2017-03-31T15:31:00Z</dcterms:modified>
</cp:coreProperties>
</file>